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53E" w:rsidRPr="00256A88" w:rsidRDefault="00DF153E" w:rsidP="00DF153E">
      <w:pPr>
        <w:tabs>
          <w:tab w:val="left" w:pos="993"/>
        </w:tabs>
        <w:jc w:val="center"/>
        <w:rPr>
          <w:rFonts w:asciiTheme="majorHAnsi" w:hAnsiTheme="majorHAnsi" w:cstheme="majorHAnsi"/>
          <w:b/>
          <w:u w:val="single"/>
        </w:rPr>
      </w:pPr>
      <w:r w:rsidRPr="00256A88">
        <w:rPr>
          <w:rFonts w:asciiTheme="majorHAnsi" w:hAnsiTheme="majorHAnsi" w:cstheme="majorHAnsi"/>
          <w:b/>
          <w:u w:val="single"/>
        </w:rPr>
        <w:t>Prestižní publikace ÚŽFG 2020: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Bosáková, Michaela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Abraham, S.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Nita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A.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Hrubá, Eva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Buchtová, Marcela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Paige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Taylor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Duran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I. - Martin, J.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Svozilová, Kateřina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Bárta, T. - Vařecha, M. - Bálek, L. - Kohoutek,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Radaszkiewicz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Pusapati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G. V.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Bryja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V.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Rush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Thiffault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I.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Nickerson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Bamshad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Rohatgi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R.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Cohn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 H.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Krakow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D.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Krejčí, Pavel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Mutations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GRK2 cause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Jeune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syndrome by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impairing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Hedgehog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canonical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Wnt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signaling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EMBO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Molecular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Medicine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12, č. 11 (2020), č. článku e11739. 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8.821, rok: 2019</w:t>
      </w:r>
      <w:r w:rsidRPr="00256A8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</w:rPr>
      </w:pP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Dumková, J.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Smutná, Tereza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Vrlíková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Lucie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 Kotasová, H.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Dočekal, Bohumil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Čapka, Lukáš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 Tvrdoňová, M.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Jakešová, Veronika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Pelková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V.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Křůmal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Kamil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Coufalík, Pavel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Mikuška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Pavel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Večeřa, Zbyněk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Vaculovič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Husáková, Z.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Kanický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V. - Hampl, A.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Buchtová, Marcela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Variability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Clearance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Lead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Oxide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Nanoparticles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Associated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with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Alteration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Specific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Membrane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Transporters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ACS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Nano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14, č. 3 (2020), s. 3096-3120. 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14.588, rok: 2019</w:t>
      </w:r>
      <w:r w:rsidRPr="00256A88">
        <w:rPr>
          <w:rFonts w:asciiTheme="majorHAnsi" w:hAnsiTheme="majorHAnsi" w:cstheme="majorHAnsi"/>
          <w:sz w:val="22"/>
          <w:szCs w:val="22"/>
        </w:rPr>
        <w:t xml:space="preserve"> 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</w:rPr>
      </w:pPr>
    </w:p>
    <w:p w:rsidR="00DF153E" w:rsidRPr="00256A88" w:rsidRDefault="00DF153E" w:rsidP="00DF153E">
      <w:pPr>
        <w:tabs>
          <w:tab w:val="left" w:pos="2694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bookmarkStart w:id="0" w:name="_GoBack"/>
      <w:bookmarkEnd w:id="0"/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Drutovič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Dávid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Duan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X.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R. - Kaláb, P.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Šolc, Petr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RanGTP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importin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beta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regulate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meiosis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spindle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assembly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function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mouse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oocytes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EMBO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Journal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39, č. 1 (2020), č. článku e101689. 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9.889, rok: 2019</w:t>
      </w:r>
    </w:p>
    <w:p w:rsidR="00DF153E" w:rsidRPr="00256A88" w:rsidRDefault="00DF153E" w:rsidP="00DF153E">
      <w:pPr>
        <w:tabs>
          <w:tab w:val="left" w:pos="2694"/>
        </w:tabs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DF153E" w:rsidRPr="00256A88" w:rsidRDefault="00DF153E" w:rsidP="00DF153E">
      <w:pPr>
        <w:tabs>
          <w:tab w:val="left" w:pos="1701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del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 Llano, Edgar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 Mašek, T.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Gahurová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Lenka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Pospíšek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M.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Končická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Markéta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Jindrová, Anna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Jansová, Denisa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Iyyappan, Rajan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Roučová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K.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Bruce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A. W.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Kubelka, Michal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Šušor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Andrej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Age-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related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differences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translational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landscape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mammalian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oocytes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Aging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Cell</w:t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19, č. 10 (2020), č. článku e13231. 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7.238, rok: 2019</w:t>
      </w:r>
    </w:p>
    <w:p w:rsidR="00DF153E" w:rsidRPr="00256A88" w:rsidRDefault="00DF153E" w:rsidP="00DF153E">
      <w:pPr>
        <w:tabs>
          <w:tab w:val="left" w:pos="1701"/>
        </w:tabs>
        <w:rPr>
          <w:rFonts w:asciiTheme="majorHAnsi" w:eastAsia="ヒラギノ丸ゴ Pro W4" w:hAnsiTheme="majorHAnsi" w:cstheme="majorHAnsi"/>
          <w:b/>
          <w:sz w:val="22"/>
          <w:szCs w:val="22"/>
          <w:u w:val="single"/>
          <w:lang w:val="en-GB" w:eastAsia="en-US"/>
        </w:rPr>
      </w:pP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Gregor, T.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Kunová Bosáková, Michaela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Nita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Alexandru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 Abraham, S. P.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Fafílek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Bohumil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Černohorský, N. H. - Ryneš, J. - Foldynová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Trantírková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Žáčková, D. - Mayer,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Trantírek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L.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Krejčí, Pavel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Elucidation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protein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interactions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necessary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for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maintenance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BCR-ABL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signaling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complex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Cellular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Molecular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Life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Sciences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77, č. 19 (2020), s. 3885-3903. </w:t>
      </w: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6.496, rok: 2019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Toralová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Tereza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Kinterová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Veronika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 Chmelíková, E.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Kaňka, Jiří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neglected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part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early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embryonic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development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: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maternal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protein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degradation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Cellular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Molecular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Life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Sciences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 Roč. 77, č. 16 (2020), s. 3177-3194. Impakt faktor: 6.496, rok: 2019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Lukáš, Martin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 Malíčková, K.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Kolář, Martin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Bortlík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Vašátko, M. - Machková, N. - Hrubá, V.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Duričová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D. - Lukáš, M.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Switching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From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Originator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Adalimumab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to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Biosimilar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SB5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Patients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With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Inflammatory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Bowel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Disease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: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Short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-term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Experience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From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 Single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Tertiary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Clinical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Centre.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Journal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Crohns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&amp;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Colitis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14, č. 7 (2020), s. 915-919. </w:t>
      </w: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lastRenderedPageBreak/>
        <w:t>Impakt faktor: 8.658, rok: 2019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</w:rPr>
      </w:pP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Křivánek,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Soldatov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R.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Kastriti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M.E.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Chontorotzea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Herdina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N.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Petersen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Szarowská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B.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Landová, Marie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Kovář Matějová, V.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Izakovičová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Hollá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Kuchler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U.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Vidovic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Zdrilic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I.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Vijaykumar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Balic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Marangoni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P. - Klein, O.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Neves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V. C.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Yianni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V.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Sharpe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P.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Harkany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Metscher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B.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Bajénoff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Mina,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Fried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K.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Kharchenko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V.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Adameyko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I.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Dental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cell type atlas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reveals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stem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differentiated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cell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types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mouse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human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teeth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Nature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Communications</w:t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11, č. 1 (2020), č. článku 4816. </w:t>
      </w: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12.121, rok: 2019</w:t>
      </w:r>
    </w:p>
    <w:p w:rsidR="00DF153E" w:rsidRPr="00256A88" w:rsidRDefault="00DF153E" w:rsidP="00DF153E">
      <w:pPr>
        <w:ind w:left="1134" w:hanging="1134"/>
        <w:rPr>
          <w:rFonts w:asciiTheme="majorHAnsi" w:hAnsiTheme="majorHAnsi" w:cstheme="majorHAnsi"/>
          <w:sz w:val="22"/>
          <w:szCs w:val="22"/>
          <w:lang w:val="en-US"/>
        </w:rPr>
      </w:pP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Bravo-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Hernandez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Tadokoro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Navarro,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Platoshyn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O.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Kobayashi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Y.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Maršala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Miyanohara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A.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Juhás, Štefan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Juhásová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Jana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Skalníková, Helena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Tomori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Z. - Vanický, I.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Studenovská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Hana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Proks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Vladimír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Chen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Govea-Perez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N.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Ditsworth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Ciacci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J.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Gao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Zhu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W.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Ahrens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Driscoll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P.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Glenn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D.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McAlonis-Downes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Da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Cruz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Pfaff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L.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Kaspar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B. K. - Cleveland, D. W.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Maršala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M.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Spinal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subpial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delivery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of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AAV9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enables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widespread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gene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silencing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blocks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motoneuron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degeneration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ALS.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Nature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Medicine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26, č. 1 (2020), s. 118-130. 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36.130, rok: 2019</w:t>
      </w:r>
    </w:p>
    <w:p w:rsidR="00DF153E" w:rsidRPr="00256A88" w:rsidRDefault="00DF153E" w:rsidP="00DF153E">
      <w:pPr>
        <w:rPr>
          <w:rFonts w:asciiTheme="majorHAnsi" w:hAnsiTheme="majorHAnsi" w:cstheme="majorHAnsi"/>
          <w:sz w:val="22"/>
          <w:szCs w:val="22"/>
          <w:lang w:val="en-US"/>
        </w:rPr>
      </w:pP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Maršala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Kamizato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K.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Tadokoro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T. - Navarro, M.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Juhás, Štefan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Juhásová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Jana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Maršala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S.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Studenovská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Hana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Proks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Vladimír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Hazel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Johe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K.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Kakinohana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Driscoll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Glenn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Pfaff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Ciacci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J.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Spinal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parenchymal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occupation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by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neural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stem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cells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after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subpial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delivery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adult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immunodeficient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rats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Stem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Cells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Translational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Medicine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9, č. 2 (2020), s. 177-188. </w:t>
      </w:r>
    </w:p>
    <w:p w:rsidR="00DF153E" w:rsidRPr="00256A88" w:rsidRDefault="00DF153E" w:rsidP="00DF153E">
      <w:pPr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5.962, rok: 2018</w:t>
      </w:r>
    </w:p>
    <w:p w:rsidR="00DF153E" w:rsidRPr="00256A88" w:rsidRDefault="00DF153E" w:rsidP="00DF153E">
      <w:pPr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DF153E" w:rsidRPr="00256A88" w:rsidRDefault="00DF153E" w:rsidP="00DF153E">
      <w:pPr>
        <w:tabs>
          <w:tab w:val="left" w:pos="1701"/>
        </w:tabs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Kataruka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Shubhangini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Modrák, Martin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Kinterová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Veronika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Malík, Radek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Zeitler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D.M. 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Horvat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Filip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Kaňka, Jiří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Meister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G.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Svoboda, Petr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MicroRNA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dilution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during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oocyte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growth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disables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microRNA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pathway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mammalian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oocytes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Nucleic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Acids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Research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48, č. 14 (2020), s. 8050-8062. 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11.502, rok: 2019</w:t>
      </w:r>
    </w:p>
    <w:p w:rsidR="00DF153E" w:rsidRPr="00256A88" w:rsidRDefault="00DF153E" w:rsidP="00DF153E">
      <w:pPr>
        <w:tabs>
          <w:tab w:val="left" w:pos="1701"/>
        </w:tabs>
        <w:rPr>
          <w:rFonts w:asciiTheme="majorHAnsi" w:eastAsia="ヒラギノ丸ゴ Pro W4" w:hAnsiTheme="majorHAnsi" w:cstheme="majorHAnsi"/>
          <w:sz w:val="22"/>
          <w:szCs w:val="22"/>
          <w:lang w:val="en-US"/>
        </w:rPr>
      </w:pPr>
    </w:p>
    <w:p w:rsidR="00DF153E" w:rsidRPr="00256A88" w:rsidRDefault="00DF153E" w:rsidP="00DF153E">
      <w:pPr>
        <w:tabs>
          <w:tab w:val="left" w:pos="1701"/>
        </w:tabs>
        <w:jc w:val="both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Oliveira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A.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Perez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M. F.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Bertollo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L.A.C.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Gestich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C. C.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Ráb, Petr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Ezaz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T.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Souza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F. H. S.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Viana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P. F.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Feldberg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Oliveira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, E. H. C. 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Cioffi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M.B.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Historical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demography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climate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driven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distributional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changes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in a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widespread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Neotropical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freshwater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species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with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high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economic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importance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Ecography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43, č. 9 (2020), s. 1291-1304. </w:t>
      </w:r>
    </w:p>
    <w:p w:rsidR="00DF153E" w:rsidRPr="00256A88" w:rsidRDefault="00DF153E" w:rsidP="00DF153E">
      <w:pPr>
        <w:tabs>
          <w:tab w:val="left" w:pos="1701"/>
        </w:tabs>
        <w:jc w:val="both"/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</w:pP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6.455, rok: 2019</w:t>
      </w:r>
    </w:p>
    <w:p w:rsidR="00DF153E" w:rsidRPr="00256A88" w:rsidRDefault="00DF153E" w:rsidP="00DF153E">
      <w:pPr>
        <w:tabs>
          <w:tab w:val="left" w:pos="1701"/>
        </w:tabs>
        <w:jc w:val="both"/>
        <w:rPr>
          <w:rFonts w:asciiTheme="majorHAnsi" w:hAnsiTheme="majorHAnsi" w:cstheme="majorHAnsi"/>
          <w:bCs/>
          <w:sz w:val="22"/>
          <w:szCs w:val="22"/>
          <w:lang w:val="en-US" w:eastAsia="en-US"/>
        </w:rPr>
      </w:pPr>
    </w:p>
    <w:p w:rsidR="00DF153E" w:rsidRPr="00256A88" w:rsidRDefault="00DF153E" w:rsidP="00DF153E">
      <w:pPr>
        <w:tabs>
          <w:tab w:val="left" w:pos="993"/>
        </w:tabs>
        <w:rPr>
          <w:rFonts w:asciiTheme="majorHAnsi" w:hAnsiTheme="majorHAnsi" w:cstheme="majorHAnsi"/>
          <w:sz w:val="22"/>
          <w:szCs w:val="22"/>
        </w:rPr>
      </w:pP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Ganesh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Sravya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Horvat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Filip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Drutovič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 xml:space="preserve">, 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Dávid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Efenberková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Michaela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Pinkas, Dominik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Jindrová, Anna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Pasulka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Josef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Iyyappan, Rajan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Malík, Radek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proofErr w:type="spellStart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Šušor</w:t>
      </w:r>
      <w:proofErr w:type="spellEnd"/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, Andrej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 - </w:t>
      </w:r>
      <w:proofErr w:type="spellStart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Vlahovicek</w:t>
      </w:r>
      <w:proofErr w:type="spellEnd"/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, K. 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Šolc, Petr</w:t>
      </w:r>
      <w:r w:rsidRPr="00256A88">
        <w:rPr>
          <w:rStyle w:val="Sil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 - </w:t>
      </w:r>
      <w:r w:rsidRPr="00256A88">
        <w:rPr>
          <w:rStyle w:val="emphasis"/>
          <w:rFonts w:asciiTheme="majorHAnsi" w:hAnsiTheme="majorHAnsi" w:cstheme="majorHAnsi"/>
          <w:b/>
          <w:bCs/>
          <w:color w:val="212529"/>
          <w:sz w:val="22"/>
          <w:szCs w:val="22"/>
          <w:shd w:val="clear" w:color="auto" w:fill="FFFFFF"/>
        </w:rPr>
        <w:t>Svoboda, Petr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The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most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abundant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maternal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lncRNA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Sirena1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acts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post-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transcriptionally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and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impacts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mitochondrial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distribution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.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Nucleic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Acids</w:t>
      </w:r>
      <w:proofErr w:type="spellEnd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 </w:t>
      </w:r>
      <w:proofErr w:type="spellStart"/>
      <w:r w:rsidRPr="00256A88">
        <w:rPr>
          <w:rStyle w:val="Zdraznn"/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Research</w:t>
      </w:r>
      <w:proofErr w:type="spellEnd"/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 xml:space="preserve">. Roč. 48, č. 6 (2020), s. 3211-3227. </w:t>
      </w:r>
      <w:r w:rsidRPr="00256A88">
        <w:rPr>
          <w:rFonts w:asciiTheme="majorHAnsi" w:hAnsiTheme="majorHAnsi" w:cstheme="majorHAnsi"/>
          <w:color w:val="212529"/>
          <w:sz w:val="22"/>
          <w:szCs w:val="22"/>
        </w:rPr>
        <w:br/>
      </w:r>
      <w:r w:rsidRPr="00256A88">
        <w:rPr>
          <w:rFonts w:asciiTheme="majorHAnsi" w:hAnsiTheme="majorHAnsi" w:cstheme="majorHAnsi"/>
          <w:color w:val="212529"/>
          <w:sz w:val="22"/>
          <w:szCs w:val="22"/>
          <w:shd w:val="clear" w:color="auto" w:fill="FFFFFF"/>
        </w:rPr>
        <w:t>Impakt faktor: 11.502, rok: 2019</w:t>
      </w:r>
    </w:p>
    <w:p w:rsidR="00476130" w:rsidRDefault="00476130"/>
    <w:sectPr w:rsidR="00476130" w:rsidSect="00343D26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ヒラギノ丸ゴ Pro W4">
    <w:charset w:val="4E"/>
    <w:family w:val="auto"/>
    <w:pitch w:val="variable"/>
    <w:sig w:usb0="E00002FF" w:usb1="7AC7FFFF" w:usb2="00000012" w:usb3="00000000" w:csb0="0002000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53E"/>
    <w:rsid w:val="00476130"/>
    <w:rsid w:val="00D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018B73-AFFB-4D8C-8382-07EC2ED3A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F153E"/>
    <w:rPr>
      <w:b/>
      <w:bCs/>
    </w:rPr>
  </w:style>
  <w:style w:type="character" w:customStyle="1" w:styleId="emphasis">
    <w:name w:val="emphasis"/>
    <w:basedOn w:val="Standardnpsmoodstavce"/>
    <w:rsid w:val="00DF153E"/>
  </w:style>
  <w:style w:type="character" w:styleId="Zdraznn">
    <w:name w:val="Emphasis"/>
    <w:basedOn w:val="Standardnpsmoodstavce"/>
    <w:uiPriority w:val="20"/>
    <w:qFormat/>
    <w:rsid w:val="00DF15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4819</Characters>
  <Application>Microsoft Office Word</Application>
  <DocSecurity>0</DocSecurity>
  <Lines>40</Lines>
  <Paragraphs>11</Paragraphs>
  <ScaleCrop>false</ScaleCrop>
  <Company>UZFG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Zasmetova</dc:creator>
  <cp:keywords/>
  <dc:description/>
  <cp:lastModifiedBy>Jana Zasmetova</cp:lastModifiedBy>
  <cp:revision>1</cp:revision>
  <dcterms:created xsi:type="dcterms:W3CDTF">2021-05-10T13:20:00Z</dcterms:created>
  <dcterms:modified xsi:type="dcterms:W3CDTF">2021-05-10T13:20:00Z</dcterms:modified>
</cp:coreProperties>
</file>