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23841" w14:textId="77777777" w:rsidR="00696F11" w:rsidRDefault="00696F11" w:rsidP="00696F11">
      <w:pPr>
        <w:widowControl w:val="0"/>
        <w:tabs>
          <w:tab w:val="left" w:pos="993"/>
        </w:tabs>
        <w:autoSpaceDE w:val="0"/>
        <w:autoSpaceDN w:val="0"/>
        <w:adjustRightInd w:val="0"/>
        <w:ind w:left="993" w:hanging="993"/>
        <w:jc w:val="both"/>
        <w:rPr>
          <w:rFonts w:cs="Arial"/>
          <w:lang w:val="en-US" w:eastAsia="en-US"/>
        </w:rPr>
      </w:pPr>
    </w:p>
    <w:p w14:paraId="5114D347" w14:textId="77777777" w:rsidR="00696F11" w:rsidRPr="003F79C1" w:rsidRDefault="00696F11" w:rsidP="00696F11">
      <w:pPr>
        <w:widowControl w:val="0"/>
        <w:tabs>
          <w:tab w:val="left" w:pos="993"/>
        </w:tabs>
        <w:autoSpaceDE w:val="0"/>
        <w:autoSpaceDN w:val="0"/>
        <w:adjustRightInd w:val="0"/>
        <w:ind w:left="993" w:hanging="993"/>
        <w:jc w:val="both"/>
        <w:rPr>
          <w:rFonts w:cs="Arial"/>
          <w:b/>
          <w:lang w:val="en-US" w:eastAsia="en-US"/>
        </w:rPr>
      </w:pPr>
      <w:r w:rsidRPr="003F79C1">
        <w:rPr>
          <w:rFonts w:cs="Arial"/>
          <w:b/>
          <w:lang w:val="en-US" w:eastAsia="en-US"/>
        </w:rPr>
        <w:t>2017:</w:t>
      </w:r>
    </w:p>
    <w:p w14:paraId="0586A2D7" w14:textId="77777777" w:rsidR="00696F11" w:rsidRPr="003F79C1" w:rsidRDefault="00696F11" w:rsidP="00696F11">
      <w:pPr>
        <w:ind w:left="1080" w:hanging="1080"/>
        <w:jc w:val="both"/>
        <w:rPr>
          <w:lang w:val="en-US"/>
        </w:rPr>
      </w:pPr>
      <w:proofErr w:type="spellStart"/>
      <w:r w:rsidRPr="003F79C1">
        <w:rPr>
          <w:lang w:val="en-US"/>
        </w:rPr>
        <w:t>Balek</w:t>
      </w:r>
      <w:proofErr w:type="spellEnd"/>
      <w:r w:rsidRPr="003F79C1">
        <w:rPr>
          <w:lang w:val="en-US"/>
        </w:rPr>
        <w:t xml:space="preserve"> L, </w:t>
      </w:r>
      <w:proofErr w:type="spellStart"/>
      <w:r w:rsidRPr="003F79C1">
        <w:rPr>
          <w:lang w:val="en-US"/>
        </w:rPr>
        <w:t>Gudernova</w:t>
      </w:r>
      <w:proofErr w:type="spellEnd"/>
      <w:r w:rsidRPr="003F79C1">
        <w:rPr>
          <w:lang w:val="en-US"/>
        </w:rPr>
        <w:t xml:space="preserve"> I, </w:t>
      </w:r>
      <w:proofErr w:type="spellStart"/>
      <w:r w:rsidRPr="003F79C1">
        <w:rPr>
          <w:color w:val="FF0000"/>
          <w:lang w:val="en-US"/>
        </w:rPr>
        <w:t>Vesela</w:t>
      </w:r>
      <w:proofErr w:type="spellEnd"/>
      <w:r w:rsidRPr="003F79C1">
        <w:rPr>
          <w:color w:val="FF0000"/>
          <w:lang w:val="en-US"/>
        </w:rPr>
        <w:t xml:space="preserve"> I, Hampl M,</w:t>
      </w:r>
      <w:r w:rsidRPr="003F79C1">
        <w:rPr>
          <w:lang w:val="en-US"/>
        </w:rPr>
        <w:t xml:space="preserve"> </w:t>
      </w:r>
      <w:proofErr w:type="spellStart"/>
      <w:r w:rsidRPr="003F79C1">
        <w:rPr>
          <w:color w:val="FF0000"/>
          <w:lang w:val="en-US"/>
        </w:rPr>
        <w:t>Oralova</w:t>
      </w:r>
      <w:proofErr w:type="spellEnd"/>
      <w:r w:rsidRPr="003F79C1">
        <w:rPr>
          <w:color w:val="FF0000"/>
          <w:lang w:val="en-US"/>
        </w:rPr>
        <w:t xml:space="preserve"> V,</w:t>
      </w:r>
      <w:r w:rsidRPr="003F79C1">
        <w:rPr>
          <w:lang w:val="en-US"/>
        </w:rPr>
        <w:t xml:space="preserve"> </w:t>
      </w:r>
      <w:proofErr w:type="spellStart"/>
      <w:r w:rsidRPr="003F79C1">
        <w:rPr>
          <w:lang w:val="en-US"/>
        </w:rPr>
        <w:t>Kunova</w:t>
      </w:r>
      <w:proofErr w:type="spellEnd"/>
      <w:r w:rsidRPr="003F79C1">
        <w:rPr>
          <w:lang w:val="en-US"/>
        </w:rPr>
        <w:t xml:space="preserve"> </w:t>
      </w:r>
      <w:proofErr w:type="spellStart"/>
      <w:r w:rsidRPr="003F79C1">
        <w:rPr>
          <w:lang w:val="en-US"/>
        </w:rPr>
        <w:t>Bosakova</w:t>
      </w:r>
      <w:proofErr w:type="spellEnd"/>
      <w:r w:rsidRPr="003F79C1">
        <w:rPr>
          <w:lang w:val="en-US"/>
        </w:rPr>
        <w:t xml:space="preserve"> M, </w:t>
      </w:r>
      <w:proofErr w:type="spellStart"/>
      <w:r w:rsidRPr="003F79C1">
        <w:rPr>
          <w:lang w:val="en-US"/>
        </w:rPr>
        <w:t>Varecha</w:t>
      </w:r>
      <w:proofErr w:type="spellEnd"/>
      <w:r w:rsidRPr="003F79C1">
        <w:rPr>
          <w:lang w:val="en-US"/>
        </w:rPr>
        <w:t xml:space="preserve"> M, </w:t>
      </w:r>
      <w:proofErr w:type="spellStart"/>
      <w:r w:rsidRPr="003F79C1">
        <w:rPr>
          <w:lang w:val="en-US"/>
        </w:rPr>
        <w:t>Nemec</w:t>
      </w:r>
      <w:proofErr w:type="spellEnd"/>
      <w:r w:rsidRPr="003F79C1">
        <w:rPr>
          <w:lang w:val="en-US"/>
        </w:rPr>
        <w:t xml:space="preserve"> P, Hall T, </w:t>
      </w:r>
      <w:proofErr w:type="spellStart"/>
      <w:r w:rsidRPr="003F79C1">
        <w:rPr>
          <w:lang w:val="en-US"/>
        </w:rPr>
        <w:t>Abbadessa</w:t>
      </w:r>
      <w:proofErr w:type="spellEnd"/>
      <w:r w:rsidRPr="003F79C1">
        <w:rPr>
          <w:lang w:val="en-US"/>
        </w:rPr>
        <w:t xml:space="preserve"> G, Hatch N, </w:t>
      </w:r>
      <w:r w:rsidRPr="003F79C1">
        <w:rPr>
          <w:bCs/>
          <w:color w:val="FF0000"/>
          <w:lang w:val="en-US"/>
        </w:rPr>
        <w:t>Buchtova M</w:t>
      </w:r>
      <w:r w:rsidRPr="003F79C1">
        <w:rPr>
          <w:color w:val="FF0000"/>
          <w:lang w:val="en-US"/>
        </w:rPr>
        <w:t xml:space="preserve">, </w:t>
      </w:r>
      <w:proofErr w:type="spellStart"/>
      <w:r w:rsidRPr="003F79C1">
        <w:rPr>
          <w:lang w:val="en-US"/>
        </w:rPr>
        <w:t>Krejci</w:t>
      </w:r>
      <w:proofErr w:type="spellEnd"/>
      <w:r w:rsidRPr="003F79C1">
        <w:rPr>
          <w:lang w:val="en-US"/>
        </w:rPr>
        <w:t xml:space="preserve"> P. (2017): ARQ 087 inhibits FGFR signaling and rescues aberrant cell proliferation and differentiation in experimental models of </w:t>
      </w:r>
      <w:proofErr w:type="spellStart"/>
      <w:r w:rsidRPr="003F79C1">
        <w:rPr>
          <w:lang w:val="en-US"/>
        </w:rPr>
        <w:t>craniosynostoses</w:t>
      </w:r>
      <w:proofErr w:type="spellEnd"/>
      <w:r w:rsidRPr="003F79C1">
        <w:rPr>
          <w:lang w:val="en-US"/>
        </w:rPr>
        <w:t xml:space="preserve"> and chondrodysplasias caused by activating mutations in FGFR1, FGFR2 and FGFR3. </w:t>
      </w:r>
      <w:r w:rsidRPr="003F79C1">
        <w:rPr>
          <w:b/>
          <w:lang w:val="en-US"/>
        </w:rPr>
        <w:t>Bone.</w:t>
      </w:r>
      <w:r w:rsidRPr="003F79C1">
        <w:rPr>
          <w:lang w:val="en-US"/>
        </w:rPr>
        <w:t xml:space="preserve"> 2017 Aug 18</w:t>
      </w:r>
      <w:proofErr w:type="gramStart"/>
      <w:r w:rsidRPr="003F79C1">
        <w:rPr>
          <w:lang w:val="en-US"/>
        </w:rPr>
        <w:t>;105:57</w:t>
      </w:r>
      <w:proofErr w:type="gramEnd"/>
      <w:r w:rsidRPr="003F79C1">
        <w:rPr>
          <w:lang w:val="en-US"/>
        </w:rPr>
        <w:t xml:space="preserve">-66. </w:t>
      </w:r>
      <w:proofErr w:type="spellStart"/>
      <w:proofErr w:type="gramStart"/>
      <w:r w:rsidRPr="003F79C1">
        <w:rPr>
          <w:lang w:val="en-US"/>
        </w:rPr>
        <w:t>doi</w:t>
      </w:r>
      <w:proofErr w:type="spellEnd"/>
      <w:proofErr w:type="gramEnd"/>
      <w:r w:rsidRPr="003F79C1">
        <w:rPr>
          <w:lang w:val="en-US"/>
        </w:rPr>
        <w:t>: 10.1016/j.bone.2017.08.016. [</w:t>
      </w:r>
      <w:proofErr w:type="spellStart"/>
      <w:r w:rsidRPr="003F79C1">
        <w:rPr>
          <w:lang w:val="en-US"/>
        </w:rPr>
        <w:t>Epub</w:t>
      </w:r>
      <w:proofErr w:type="spellEnd"/>
      <w:r w:rsidRPr="003F79C1">
        <w:rPr>
          <w:lang w:val="en-US"/>
        </w:rPr>
        <w:t xml:space="preserve"> ahead of print]</w:t>
      </w:r>
    </w:p>
    <w:p w14:paraId="1921B866" w14:textId="1D0E4578" w:rsidR="00696F11" w:rsidRPr="003F79C1" w:rsidRDefault="00696F11" w:rsidP="00696F11">
      <w:pPr>
        <w:tabs>
          <w:tab w:val="left" w:pos="1701"/>
        </w:tabs>
        <w:ind w:left="1134" w:hanging="1134"/>
        <w:jc w:val="both"/>
        <w:rPr>
          <w:rFonts w:eastAsia="ヒラギノ丸ゴ Pro W4"/>
          <w:lang w:eastAsia="en-US"/>
        </w:rPr>
      </w:pPr>
      <w:r w:rsidRPr="003F79C1">
        <w:rPr>
          <w:rFonts w:eastAsia="ヒラギノ丸ゴ Pro W4"/>
          <w:lang w:eastAsia="en-US"/>
        </w:rPr>
        <w:tab/>
        <w:t>IF:</w:t>
      </w:r>
      <w:r w:rsidRPr="003F79C1">
        <w:rPr>
          <w:rFonts w:eastAsia="ヒラギノ丸ゴ Pro W4"/>
          <w:lang w:eastAsia="en-US"/>
        </w:rPr>
        <w:tab/>
      </w:r>
      <w:r w:rsidR="00244B9A" w:rsidRPr="003F79C1">
        <w:rPr>
          <w:rFonts w:eastAsia="ヒラギノ丸ゴ Pro W4"/>
          <w:lang w:eastAsia="en-US"/>
        </w:rPr>
        <w:tab/>
      </w:r>
      <w:r w:rsidRPr="003F79C1">
        <w:rPr>
          <w:rFonts w:eastAsia="ヒラギノ丸ゴ Pro W4"/>
          <w:lang w:eastAsia="en-US"/>
        </w:rPr>
        <w:t>4,140</w:t>
      </w:r>
    </w:p>
    <w:p w14:paraId="3DABCD90" w14:textId="77777777" w:rsidR="00696F11" w:rsidRPr="003F79C1" w:rsidRDefault="00696F11" w:rsidP="00696F11">
      <w:pPr>
        <w:tabs>
          <w:tab w:val="left" w:pos="993"/>
        </w:tabs>
      </w:pPr>
    </w:p>
    <w:p w14:paraId="45D4044D" w14:textId="77777777" w:rsidR="00244B9A" w:rsidRPr="003F79C1" w:rsidRDefault="00244B9A" w:rsidP="00244B9A">
      <w:pPr>
        <w:tabs>
          <w:tab w:val="left" w:pos="993"/>
        </w:tabs>
        <w:ind w:left="1134" w:hanging="1134"/>
        <w:rPr>
          <w:bCs/>
        </w:rPr>
      </w:pPr>
      <w:r w:rsidRPr="003F79C1">
        <w:rPr>
          <w:lang w:val="en-US"/>
        </w:rPr>
        <w:t xml:space="preserve">Chung, A.G., Belone, P.M., </w:t>
      </w:r>
      <w:proofErr w:type="spellStart"/>
      <w:r w:rsidRPr="003F79C1">
        <w:rPr>
          <w:color w:val="FF0000"/>
          <w:lang w:val="en-US"/>
        </w:rPr>
        <w:t>Bimova</w:t>
      </w:r>
      <w:proofErr w:type="spellEnd"/>
      <w:r w:rsidRPr="003F79C1">
        <w:rPr>
          <w:color w:val="FF0000"/>
          <w:lang w:val="en-US"/>
        </w:rPr>
        <w:t>, B.V.,</w:t>
      </w:r>
      <w:r w:rsidRPr="003F79C1">
        <w:rPr>
          <w:lang w:val="en-US"/>
        </w:rPr>
        <w:t xml:space="preserve"> </w:t>
      </w:r>
      <w:proofErr w:type="spellStart"/>
      <w:r w:rsidRPr="003F79C1">
        <w:rPr>
          <w:lang w:val="en-US"/>
        </w:rPr>
        <w:t>Karn</w:t>
      </w:r>
      <w:proofErr w:type="spellEnd"/>
      <w:r w:rsidRPr="003F79C1">
        <w:rPr>
          <w:lang w:val="en-US"/>
        </w:rPr>
        <w:t xml:space="preserve">, R.C., </w:t>
      </w:r>
      <w:proofErr w:type="spellStart"/>
      <w:r w:rsidRPr="003F79C1">
        <w:rPr>
          <w:lang w:val="en-US"/>
        </w:rPr>
        <w:t>Laukaitis</w:t>
      </w:r>
      <w:proofErr w:type="spellEnd"/>
      <w:r w:rsidRPr="003F79C1">
        <w:rPr>
          <w:lang w:val="en-US"/>
        </w:rPr>
        <w:t>, C.M.</w:t>
      </w:r>
      <w:r w:rsidRPr="003F79C1">
        <w:rPr>
          <w:u w:val="dash"/>
          <w:lang w:val="en-US"/>
        </w:rPr>
        <w:t xml:space="preserve"> </w:t>
      </w:r>
      <w:r w:rsidRPr="003F79C1">
        <w:rPr>
          <w:lang w:val="en-US"/>
        </w:rPr>
        <w:t xml:space="preserve">(2017): </w:t>
      </w:r>
      <w:r w:rsidRPr="003F79C1">
        <w:rPr>
          <w:bCs/>
          <w:lang w:val="en-US"/>
        </w:rPr>
        <w:t>Studies of an Androgen-Binding Protein Knockout Corroborate a Role for Salivary ABP in Mouse Communication</w:t>
      </w:r>
      <w:r w:rsidRPr="003F79C1">
        <w:rPr>
          <w:lang w:val="en-US"/>
        </w:rPr>
        <w:t xml:space="preserve">. </w:t>
      </w:r>
      <w:r w:rsidRPr="003F79C1">
        <w:rPr>
          <w:b/>
          <w:lang w:val="en-US"/>
        </w:rPr>
        <w:t>Genetics</w:t>
      </w:r>
      <w:r w:rsidRPr="003F79C1">
        <w:rPr>
          <w:lang w:val="en-US"/>
        </w:rPr>
        <w:t>, 205:1517-1527.</w:t>
      </w:r>
    </w:p>
    <w:p w14:paraId="71B5D410" w14:textId="36341F10" w:rsidR="00244B9A" w:rsidRPr="003F79C1" w:rsidRDefault="00244B9A" w:rsidP="00244B9A">
      <w:pPr>
        <w:tabs>
          <w:tab w:val="left" w:pos="993"/>
          <w:tab w:val="left" w:pos="1701"/>
        </w:tabs>
        <w:ind w:left="1134" w:hanging="1134"/>
        <w:rPr>
          <w:lang w:val="en-US"/>
        </w:rPr>
      </w:pPr>
      <w:r w:rsidRPr="003F79C1">
        <w:rPr>
          <w:bCs/>
        </w:rPr>
        <w:tab/>
      </w:r>
      <w:r w:rsidRPr="003F79C1">
        <w:rPr>
          <w:bCs/>
        </w:rPr>
        <w:tab/>
        <w:t>IF:</w:t>
      </w:r>
      <w:r w:rsidRPr="003F79C1">
        <w:rPr>
          <w:bCs/>
        </w:rPr>
        <w:tab/>
      </w:r>
      <w:r w:rsidRPr="003F79C1">
        <w:rPr>
          <w:bCs/>
        </w:rPr>
        <w:tab/>
        <w:t>4,556</w:t>
      </w:r>
    </w:p>
    <w:p w14:paraId="3DAD813D" w14:textId="77777777" w:rsidR="00244B9A" w:rsidRPr="003F79C1" w:rsidRDefault="00244B9A" w:rsidP="00696F11">
      <w:pPr>
        <w:tabs>
          <w:tab w:val="left" w:pos="993"/>
        </w:tabs>
      </w:pPr>
    </w:p>
    <w:p w14:paraId="66F537BF" w14:textId="77777777" w:rsidR="00244B9A" w:rsidRPr="003F79C1" w:rsidRDefault="00244B9A" w:rsidP="00244B9A">
      <w:pPr>
        <w:widowControl w:val="0"/>
        <w:tabs>
          <w:tab w:val="left" w:pos="993"/>
        </w:tabs>
        <w:autoSpaceDE w:val="0"/>
        <w:autoSpaceDN w:val="0"/>
        <w:adjustRightInd w:val="0"/>
        <w:ind w:left="993" w:hanging="993"/>
        <w:jc w:val="both"/>
        <w:rPr>
          <w:rFonts w:cs="Arial"/>
          <w:lang w:val="en-US" w:eastAsia="en-US"/>
        </w:rPr>
      </w:pPr>
      <w:r w:rsidRPr="003F79C1">
        <w:rPr>
          <w:rFonts w:cs="Arial"/>
          <w:lang w:val="en-US" w:eastAsia="en-US"/>
        </w:rPr>
        <w:t>Dion-</w:t>
      </w:r>
      <w:proofErr w:type="spellStart"/>
      <w:r w:rsidRPr="003F79C1">
        <w:rPr>
          <w:rFonts w:cs="Arial"/>
          <w:lang w:val="en-US" w:eastAsia="en-US"/>
        </w:rPr>
        <w:t>Côté</w:t>
      </w:r>
      <w:proofErr w:type="spellEnd"/>
      <w:r w:rsidRPr="003F79C1">
        <w:rPr>
          <w:rFonts w:cs="Arial"/>
          <w:lang w:val="en-US" w:eastAsia="en-US"/>
        </w:rPr>
        <w:t xml:space="preserve"> AM, </w:t>
      </w:r>
      <w:proofErr w:type="spellStart"/>
      <w:r w:rsidRPr="003F79C1">
        <w:rPr>
          <w:rFonts w:cs="Arial"/>
          <w:lang w:val="en-US" w:eastAsia="en-US"/>
        </w:rPr>
        <w:t>Symonová</w:t>
      </w:r>
      <w:proofErr w:type="spellEnd"/>
      <w:r w:rsidRPr="003F79C1">
        <w:rPr>
          <w:rFonts w:cs="Arial"/>
          <w:lang w:val="en-US" w:eastAsia="en-US"/>
        </w:rPr>
        <w:t xml:space="preserve"> R, Lamaze FC, </w:t>
      </w:r>
      <w:r w:rsidRPr="003F79C1">
        <w:rPr>
          <w:rFonts w:cs="Arial"/>
          <w:color w:val="FF0000"/>
          <w:lang w:val="en-US" w:eastAsia="en-US"/>
        </w:rPr>
        <w:t>Pelikánová Š, Ráb P,</w:t>
      </w:r>
      <w:r w:rsidRPr="003F79C1">
        <w:rPr>
          <w:rFonts w:cs="Arial"/>
          <w:lang w:val="en-US" w:eastAsia="en-US"/>
        </w:rPr>
        <w:t xml:space="preserve"> </w:t>
      </w:r>
      <w:proofErr w:type="spellStart"/>
      <w:r w:rsidRPr="003F79C1">
        <w:rPr>
          <w:rFonts w:cs="Arial"/>
          <w:lang w:val="en-US" w:eastAsia="en-US"/>
        </w:rPr>
        <w:t>Bernatchez</w:t>
      </w:r>
      <w:proofErr w:type="spellEnd"/>
      <w:r w:rsidRPr="003F79C1">
        <w:rPr>
          <w:rFonts w:cs="Arial"/>
          <w:lang w:val="en-US" w:eastAsia="en-US"/>
        </w:rPr>
        <w:t xml:space="preserve"> L. (2017): Standing chromosomal variation in Lake Whitefish species pairs: the role of historical contingency and relevance for speciation. </w:t>
      </w:r>
      <w:proofErr w:type="spellStart"/>
      <w:r w:rsidRPr="003F79C1">
        <w:rPr>
          <w:rFonts w:cs="Arial"/>
          <w:b/>
          <w:lang w:val="en-US" w:eastAsia="en-US"/>
        </w:rPr>
        <w:t>Mol</w:t>
      </w:r>
      <w:proofErr w:type="spellEnd"/>
      <w:r w:rsidRPr="003F79C1">
        <w:rPr>
          <w:rFonts w:cs="Arial"/>
          <w:b/>
          <w:lang w:val="en-US" w:eastAsia="en-US"/>
        </w:rPr>
        <w:t xml:space="preserve"> Ecol.,</w:t>
      </w:r>
      <w:r w:rsidRPr="003F79C1">
        <w:rPr>
          <w:rFonts w:cs="Arial"/>
          <w:lang w:val="en-US" w:eastAsia="en-US"/>
        </w:rPr>
        <w:t xml:space="preserve"> 26:178-192. </w:t>
      </w:r>
      <w:proofErr w:type="spellStart"/>
      <w:proofErr w:type="gramStart"/>
      <w:r w:rsidRPr="003F79C1">
        <w:rPr>
          <w:rFonts w:cs="Arial"/>
          <w:lang w:val="en-US" w:eastAsia="en-US"/>
        </w:rPr>
        <w:t>doi</w:t>
      </w:r>
      <w:proofErr w:type="spellEnd"/>
      <w:proofErr w:type="gramEnd"/>
      <w:r w:rsidRPr="003F79C1">
        <w:rPr>
          <w:rFonts w:cs="Arial"/>
          <w:lang w:val="en-US" w:eastAsia="en-US"/>
        </w:rPr>
        <w:t>: 10.1111/mec.13816.</w:t>
      </w:r>
    </w:p>
    <w:p w14:paraId="68688468" w14:textId="77777777" w:rsidR="00244B9A" w:rsidRPr="003F79C1" w:rsidRDefault="00244B9A" w:rsidP="00244B9A">
      <w:pPr>
        <w:tabs>
          <w:tab w:val="left" w:pos="993"/>
        </w:tabs>
      </w:pPr>
      <w:r w:rsidRPr="003F79C1">
        <w:tab/>
        <w:t>IF:</w:t>
      </w:r>
      <w:r w:rsidRPr="003F79C1">
        <w:tab/>
      </w:r>
      <w:r w:rsidRPr="003F79C1">
        <w:tab/>
        <w:t>6,086</w:t>
      </w:r>
    </w:p>
    <w:p w14:paraId="0CAC8AD0" w14:textId="77777777" w:rsidR="00244B9A" w:rsidRPr="003F79C1" w:rsidRDefault="00244B9A" w:rsidP="00244B9A">
      <w:pPr>
        <w:tabs>
          <w:tab w:val="left" w:pos="993"/>
        </w:tabs>
      </w:pPr>
    </w:p>
    <w:p w14:paraId="025BC9CA" w14:textId="77777777" w:rsidR="00244B9A" w:rsidRPr="003F79C1" w:rsidRDefault="00244B9A" w:rsidP="00244B9A">
      <w:pPr>
        <w:ind w:left="1080" w:hanging="1080"/>
        <w:jc w:val="both"/>
        <w:rPr>
          <w:lang w:val="en-US"/>
        </w:rPr>
      </w:pPr>
      <w:proofErr w:type="spellStart"/>
      <w:r w:rsidRPr="003F79C1">
        <w:rPr>
          <w:lang w:val="en-US"/>
        </w:rPr>
        <w:t>Dumková</w:t>
      </w:r>
      <w:proofErr w:type="spellEnd"/>
      <w:r w:rsidRPr="003F79C1">
        <w:rPr>
          <w:lang w:val="en-US"/>
        </w:rPr>
        <w:t xml:space="preserve"> J, </w:t>
      </w:r>
      <w:proofErr w:type="spellStart"/>
      <w:r w:rsidRPr="003F79C1">
        <w:rPr>
          <w:color w:val="FF0000"/>
          <w:lang w:val="en-US"/>
        </w:rPr>
        <w:t>Smutná</w:t>
      </w:r>
      <w:proofErr w:type="spellEnd"/>
      <w:r w:rsidRPr="003F79C1">
        <w:rPr>
          <w:color w:val="FF0000"/>
          <w:lang w:val="en-US"/>
        </w:rPr>
        <w:t xml:space="preserve"> T, </w:t>
      </w:r>
      <w:proofErr w:type="spellStart"/>
      <w:r w:rsidRPr="003F79C1">
        <w:rPr>
          <w:color w:val="FF0000"/>
          <w:lang w:val="en-US"/>
        </w:rPr>
        <w:t>Vrlíková</w:t>
      </w:r>
      <w:proofErr w:type="spellEnd"/>
      <w:r w:rsidRPr="003F79C1">
        <w:rPr>
          <w:color w:val="FF0000"/>
          <w:lang w:val="en-US"/>
        </w:rPr>
        <w:t xml:space="preserve"> L</w:t>
      </w:r>
      <w:r w:rsidRPr="003F79C1">
        <w:rPr>
          <w:lang w:val="en-US"/>
        </w:rPr>
        <w:t xml:space="preserve">, Le </w:t>
      </w:r>
      <w:proofErr w:type="spellStart"/>
      <w:r w:rsidRPr="003F79C1">
        <w:rPr>
          <w:lang w:val="en-US"/>
        </w:rPr>
        <w:t>Coustumer</w:t>
      </w:r>
      <w:proofErr w:type="spellEnd"/>
      <w:r w:rsidRPr="003F79C1">
        <w:rPr>
          <w:lang w:val="en-US"/>
        </w:rPr>
        <w:t xml:space="preserve"> P, </w:t>
      </w:r>
      <w:proofErr w:type="spellStart"/>
      <w:r w:rsidRPr="003F79C1">
        <w:rPr>
          <w:lang w:val="en-US"/>
        </w:rPr>
        <w:t>Večeřa</w:t>
      </w:r>
      <w:proofErr w:type="spellEnd"/>
      <w:r w:rsidRPr="003F79C1">
        <w:rPr>
          <w:lang w:val="en-US"/>
        </w:rPr>
        <w:t xml:space="preserve"> Z, </w:t>
      </w:r>
      <w:proofErr w:type="spellStart"/>
      <w:r w:rsidRPr="003F79C1">
        <w:rPr>
          <w:lang w:val="en-US"/>
        </w:rPr>
        <w:t>Dočekal</w:t>
      </w:r>
      <w:proofErr w:type="spellEnd"/>
      <w:r w:rsidRPr="003F79C1">
        <w:rPr>
          <w:lang w:val="en-US"/>
        </w:rPr>
        <w:t xml:space="preserve"> B, </w:t>
      </w:r>
      <w:proofErr w:type="spellStart"/>
      <w:r w:rsidRPr="003F79C1">
        <w:rPr>
          <w:lang w:val="en-US"/>
        </w:rPr>
        <w:t>Mikuška</w:t>
      </w:r>
      <w:proofErr w:type="spellEnd"/>
      <w:r w:rsidRPr="003F79C1">
        <w:rPr>
          <w:lang w:val="en-US"/>
        </w:rPr>
        <w:t xml:space="preserve"> P, </w:t>
      </w:r>
      <w:proofErr w:type="spellStart"/>
      <w:r w:rsidRPr="003F79C1">
        <w:rPr>
          <w:lang w:val="en-US"/>
        </w:rPr>
        <w:t>Čapka</w:t>
      </w:r>
      <w:proofErr w:type="spellEnd"/>
      <w:r w:rsidRPr="003F79C1">
        <w:rPr>
          <w:lang w:val="en-US"/>
        </w:rPr>
        <w:t xml:space="preserve"> L, </w:t>
      </w:r>
      <w:proofErr w:type="spellStart"/>
      <w:r w:rsidRPr="003F79C1">
        <w:rPr>
          <w:lang w:val="en-US"/>
        </w:rPr>
        <w:t>Fictum</w:t>
      </w:r>
      <w:proofErr w:type="spellEnd"/>
      <w:r w:rsidRPr="003F79C1">
        <w:rPr>
          <w:lang w:val="en-US"/>
        </w:rPr>
        <w:t xml:space="preserve"> P, Hampl A, </w:t>
      </w:r>
      <w:proofErr w:type="spellStart"/>
      <w:r w:rsidRPr="003F79C1">
        <w:rPr>
          <w:color w:val="FF0000"/>
          <w:lang w:val="en-US"/>
        </w:rPr>
        <w:t>Buchtová</w:t>
      </w:r>
      <w:proofErr w:type="spellEnd"/>
      <w:r w:rsidRPr="003F79C1">
        <w:rPr>
          <w:color w:val="FF0000"/>
          <w:lang w:val="en-US"/>
        </w:rPr>
        <w:t xml:space="preserve"> M.</w:t>
      </w:r>
      <w:r w:rsidRPr="003F79C1">
        <w:rPr>
          <w:lang w:val="en-US"/>
        </w:rPr>
        <w:t xml:space="preserve"> (2017): Sub-chronic inhalation of lead oxide nanoparticles revealed their broad distribution and tissue-specific subcellular localization in target organs. </w:t>
      </w:r>
      <w:r w:rsidRPr="003F79C1">
        <w:rPr>
          <w:b/>
          <w:lang w:val="en-US"/>
        </w:rPr>
        <w:t xml:space="preserve">Part </w:t>
      </w:r>
      <w:proofErr w:type="spellStart"/>
      <w:r w:rsidRPr="003F79C1">
        <w:rPr>
          <w:b/>
          <w:lang w:val="en-US"/>
        </w:rPr>
        <w:t>Fibre</w:t>
      </w:r>
      <w:proofErr w:type="spellEnd"/>
      <w:r w:rsidRPr="003F79C1">
        <w:rPr>
          <w:b/>
          <w:lang w:val="en-US"/>
        </w:rPr>
        <w:t xml:space="preserve"> </w:t>
      </w:r>
      <w:proofErr w:type="spellStart"/>
      <w:r w:rsidRPr="003F79C1">
        <w:rPr>
          <w:b/>
          <w:lang w:val="en-US"/>
        </w:rPr>
        <w:t>Toxicol</w:t>
      </w:r>
      <w:proofErr w:type="spellEnd"/>
      <w:r w:rsidRPr="003F79C1">
        <w:rPr>
          <w:b/>
          <w:lang w:val="en-US"/>
        </w:rPr>
        <w:t>.</w:t>
      </w:r>
      <w:r w:rsidRPr="003F79C1">
        <w:rPr>
          <w:lang w:val="en-US"/>
        </w:rPr>
        <w:t xml:space="preserve"> 2017 Dec 21</w:t>
      </w:r>
      <w:proofErr w:type="gramStart"/>
      <w:r w:rsidRPr="003F79C1">
        <w:rPr>
          <w:lang w:val="en-US"/>
        </w:rPr>
        <w:t>;14</w:t>
      </w:r>
      <w:proofErr w:type="gramEnd"/>
      <w:r w:rsidRPr="003F79C1">
        <w:rPr>
          <w:lang w:val="en-US"/>
        </w:rPr>
        <w:t xml:space="preserve">(1):55. </w:t>
      </w:r>
      <w:proofErr w:type="spellStart"/>
      <w:proofErr w:type="gramStart"/>
      <w:r w:rsidRPr="003F79C1">
        <w:rPr>
          <w:lang w:val="en-US"/>
        </w:rPr>
        <w:t>doi</w:t>
      </w:r>
      <w:proofErr w:type="spellEnd"/>
      <w:proofErr w:type="gramEnd"/>
      <w:r w:rsidRPr="003F79C1">
        <w:rPr>
          <w:lang w:val="en-US"/>
        </w:rPr>
        <w:t>: 10.1186/s12989-017-0236-y.</w:t>
      </w:r>
    </w:p>
    <w:p w14:paraId="1658EC1A" w14:textId="77777777" w:rsidR="00244B9A" w:rsidRPr="003F79C1" w:rsidRDefault="00244B9A" w:rsidP="00244B9A">
      <w:pPr>
        <w:tabs>
          <w:tab w:val="left" w:pos="1701"/>
        </w:tabs>
        <w:ind w:left="1134" w:hanging="1134"/>
        <w:jc w:val="both"/>
        <w:rPr>
          <w:rFonts w:eastAsia="ヒラギノ丸ゴ Pro W4"/>
          <w:lang w:eastAsia="en-US"/>
        </w:rPr>
      </w:pPr>
      <w:r w:rsidRPr="003F79C1">
        <w:rPr>
          <w:rFonts w:eastAsia="ヒラギノ丸ゴ Pro W4"/>
          <w:lang w:eastAsia="en-US"/>
        </w:rPr>
        <w:tab/>
        <w:t>IF:</w:t>
      </w:r>
      <w:r w:rsidRPr="003F79C1">
        <w:rPr>
          <w:rFonts w:eastAsia="ヒラギノ丸ゴ Pro W4"/>
          <w:lang w:eastAsia="en-US"/>
        </w:rPr>
        <w:tab/>
      </w:r>
      <w:r w:rsidRPr="003F79C1">
        <w:rPr>
          <w:rFonts w:eastAsia="ヒラギノ丸ゴ Pro W4"/>
          <w:lang w:eastAsia="en-US"/>
        </w:rPr>
        <w:tab/>
        <w:t>8,577</w:t>
      </w:r>
    </w:p>
    <w:p w14:paraId="4869151D" w14:textId="77777777" w:rsidR="00244B9A" w:rsidRPr="003F79C1" w:rsidRDefault="00244B9A" w:rsidP="00696F11">
      <w:pPr>
        <w:tabs>
          <w:tab w:val="left" w:pos="993"/>
        </w:tabs>
      </w:pPr>
    </w:p>
    <w:p w14:paraId="122B8D2A" w14:textId="77777777" w:rsidR="00244B9A" w:rsidRPr="003F79C1" w:rsidRDefault="00244B9A" w:rsidP="00244B9A">
      <w:pPr>
        <w:ind w:left="1080" w:hanging="1080"/>
        <w:jc w:val="both"/>
        <w:rPr>
          <w:lang w:val="en-US"/>
        </w:rPr>
      </w:pPr>
      <w:proofErr w:type="spellStart"/>
      <w:r w:rsidRPr="003F79C1">
        <w:rPr>
          <w:lang w:val="en-US"/>
        </w:rPr>
        <w:t>Fafilek</w:t>
      </w:r>
      <w:proofErr w:type="spellEnd"/>
      <w:r w:rsidRPr="003F79C1">
        <w:rPr>
          <w:lang w:val="en-US"/>
        </w:rPr>
        <w:t xml:space="preserve"> B, </w:t>
      </w:r>
      <w:r w:rsidRPr="003F79C1">
        <w:rPr>
          <w:color w:val="FF0000"/>
          <w:lang w:val="en-US"/>
        </w:rPr>
        <w:t>Hampl M,</w:t>
      </w:r>
      <w:r w:rsidRPr="003F79C1">
        <w:rPr>
          <w:lang w:val="en-US"/>
        </w:rPr>
        <w:t xml:space="preserve"> </w:t>
      </w:r>
      <w:proofErr w:type="spellStart"/>
      <w:r w:rsidRPr="003F79C1">
        <w:rPr>
          <w:lang w:val="en-US"/>
        </w:rPr>
        <w:t>Ricankova</w:t>
      </w:r>
      <w:proofErr w:type="spellEnd"/>
      <w:r w:rsidRPr="003F79C1">
        <w:rPr>
          <w:lang w:val="en-US"/>
        </w:rPr>
        <w:t xml:space="preserve"> N, </w:t>
      </w:r>
      <w:proofErr w:type="spellStart"/>
      <w:r w:rsidRPr="003F79C1">
        <w:rPr>
          <w:color w:val="FF0000"/>
          <w:lang w:val="en-US"/>
        </w:rPr>
        <w:t>Vesela</w:t>
      </w:r>
      <w:proofErr w:type="spellEnd"/>
      <w:r w:rsidRPr="003F79C1">
        <w:rPr>
          <w:color w:val="FF0000"/>
          <w:lang w:val="en-US"/>
        </w:rPr>
        <w:t xml:space="preserve"> I,</w:t>
      </w:r>
      <w:r w:rsidRPr="003F79C1">
        <w:rPr>
          <w:lang w:val="en-US"/>
        </w:rPr>
        <w:t xml:space="preserve"> </w:t>
      </w:r>
      <w:proofErr w:type="spellStart"/>
      <w:r w:rsidRPr="003F79C1">
        <w:rPr>
          <w:lang w:val="en-US"/>
        </w:rPr>
        <w:t>Balek</w:t>
      </w:r>
      <w:proofErr w:type="spellEnd"/>
      <w:r w:rsidRPr="003F79C1">
        <w:rPr>
          <w:lang w:val="en-US"/>
        </w:rPr>
        <w:t xml:space="preserve"> L, </w:t>
      </w:r>
      <w:proofErr w:type="spellStart"/>
      <w:r w:rsidRPr="003F79C1">
        <w:rPr>
          <w:lang w:val="en-US"/>
        </w:rPr>
        <w:t>Kunova</w:t>
      </w:r>
      <w:proofErr w:type="spellEnd"/>
      <w:r w:rsidRPr="003F79C1">
        <w:rPr>
          <w:lang w:val="en-US"/>
        </w:rPr>
        <w:t xml:space="preserve"> </w:t>
      </w:r>
      <w:proofErr w:type="spellStart"/>
      <w:r w:rsidRPr="003F79C1">
        <w:rPr>
          <w:lang w:val="en-US"/>
        </w:rPr>
        <w:t>Bosakova</w:t>
      </w:r>
      <w:proofErr w:type="spellEnd"/>
      <w:r w:rsidRPr="003F79C1">
        <w:rPr>
          <w:lang w:val="en-US"/>
        </w:rPr>
        <w:t xml:space="preserve"> M, </w:t>
      </w:r>
      <w:proofErr w:type="spellStart"/>
      <w:r w:rsidRPr="003F79C1">
        <w:rPr>
          <w:lang w:val="en-US"/>
        </w:rPr>
        <w:t>Gudernova</w:t>
      </w:r>
      <w:proofErr w:type="spellEnd"/>
      <w:r w:rsidRPr="003F79C1">
        <w:rPr>
          <w:lang w:val="en-US"/>
        </w:rPr>
        <w:t xml:space="preserve"> I, </w:t>
      </w:r>
      <w:proofErr w:type="spellStart"/>
      <w:r w:rsidRPr="003F79C1">
        <w:rPr>
          <w:lang w:val="en-US"/>
        </w:rPr>
        <w:t>Varecha</w:t>
      </w:r>
      <w:proofErr w:type="spellEnd"/>
      <w:r w:rsidRPr="003F79C1">
        <w:rPr>
          <w:lang w:val="en-US"/>
        </w:rPr>
        <w:t xml:space="preserve"> M, </w:t>
      </w:r>
      <w:r w:rsidRPr="003F79C1">
        <w:rPr>
          <w:bCs/>
          <w:color w:val="FF0000"/>
          <w:lang w:val="en-US"/>
        </w:rPr>
        <w:t>Buchtova M</w:t>
      </w:r>
      <w:r w:rsidRPr="003F79C1">
        <w:rPr>
          <w:lang w:val="en-US"/>
        </w:rPr>
        <w:t xml:space="preserve">, </w:t>
      </w:r>
      <w:proofErr w:type="spellStart"/>
      <w:r w:rsidRPr="003F79C1">
        <w:rPr>
          <w:lang w:val="en-US"/>
        </w:rPr>
        <w:t>Krejci</w:t>
      </w:r>
      <w:proofErr w:type="spellEnd"/>
      <w:r w:rsidRPr="003F79C1">
        <w:rPr>
          <w:lang w:val="en-US"/>
        </w:rPr>
        <w:t xml:space="preserve"> P. (2017): Statins do not inhibit the FGFR signaling in chondrocytes. </w:t>
      </w:r>
      <w:r w:rsidRPr="003F79C1">
        <w:rPr>
          <w:b/>
          <w:lang w:val="en-US"/>
        </w:rPr>
        <w:t>Osteoarthritis Cartilage</w:t>
      </w:r>
      <w:r w:rsidRPr="003F79C1">
        <w:rPr>
          <w:lang w:val="en-US"/>
        </w:rPr>
        <w:t>. 25:1522-1530.</w:t>
      </w:r>
    </w:p>
    <w:p w14:paraId="2BD330FE" w14:textId="77777777" w:rsidR="00244B9A" w:rsidRPr="003F79C1" w:rsidRDefault="00244B9A" w:rsidP="00244B9A">
      <w:pPr>
        <w:tabs>
          <w:tab w:val="left" w:pos="1701"/>
        </w:tabs>
        <w:ind w:left="1134" w:hanging="1134"/>
        <w:jc w:val="both"/>
        <w:rPr>
          <w:rFonts w:eastAsia="ヒラギノ丸ゴ Pro W4"/>
          <w:lang w:eastAsia="en-US"/>
        </w:rPr>
      </w:pPr>
      <w:r w:rsidRPr="003F79C1">
        <w:rPr>
          <w:rFonts w:eastAsia="ヒラギノ丸ゴ Pro W4"/>
          <w:lang w:eastAsia="en-US"/>
        </w:rPr>
        <w:tab/>
        <w:t>IF:</w:t>
      </w:r>
      <w:r w:rsidRPr="003F79C1">
        <w:rPr>
          <w:rFonts w:eastAsia="ヒラギノ丸ゴ Pro W4"/>
          <w:lang w:eastAsia="en-US"/>
        </w:rPr>
        <w:tab/>
        <w:t>4,742</w:t>
      </w:r>
    </w:p>
    <w:p w14:paraId="4E5E4936" w14:textId="77777777" w:rsidR="00244B9A" w:rsidRPr="003F79C1" w:rsidRDefault="00244B9A" w:rsidP="00696F11">
      <w:pPr>
        <w:tabs>
          <w:tab w:val="left" w:pos="993"/>
        </w:tabs>
      </w:pPr>
    </w:p>
    <w:p w14:paraId="02F9E31C" w14:textId="77777777" w:rsidR="00696F11" w:rsidRPr="003F79C1" w:rsidRDefault="00696F11" w:rsidP="00696F11">
      <w:pPr>
        <w:ind w:left="1080" w:hanging="1080"/>
        <w:jc w:val="both"/>
        <w:rPr>
          <w:lang w:val="en-US"/>
        </w:rPr>
      </w:pPr>
      <w:r w:rsidRPr="003F79C1">
        <w:rPr>
          <w:color w:val="FF0000"/>
          <w:lang w:val="en-US"/>
        </w:rPr>
        <w:t xml:space="preserve">Hampl M, </w:t>
      </w:r>
      <w:proofErr w:type="spellStart"/>
      <w:r w:rsidRPr="003F79C1">
        <w:rPr>
          <w:color w:val="FF0000"/>
          <w:lang w:val="en-US"/>
        </w:rPr>
        <w:t>Cela</w:t>
      </w:r>
      <w:proofErr w:type="spellEnd"/>
      <w:r w:rsidRPr="003F79C1">
        <w:rPr>
          <w:color w:val="FF0000"/>
          <w:lang w:val="en-US"/>
        </w:rPr>
        <w:t xml:space="preserve"> P</w:t>
      </w:r>
      <w:r w:rsidRPr="003F79C1">
        <w:rPr>
          <w:u w:val="dash"/>
          <w:lang w:val="en-US"/>
        </w:rPr>
        <w:t>,</w:t>
      </w:r>
      <w:r w:rsidRPr="003F79C1">
        <w:rPr>
          <w:lang w:val="en-US"/>
        </w:rPr>
        <w:t xml:space="preserve"> Szabo-Rogers HL, </w:t>
      </w:r>
      <w:proofErr w:type="spellStart"/>
      <w:r w:rsidRPr="003F79C1">
        <w:rPr>
          <w:lang w:val="en-US"/>
        </w:rPr>
        <w:t>Bosakova</w:t>
      </w:r>
      <w:proofErr w:type="spellEnd"/>
      <w:r w:rsidRPr="003F79C1">
        <w:rPr>
          <w:lang w:val="en-US"/>
        </w:rPr>
        <w:t xml:space="preserve"> MK, </w:t>
      </w:r>
      <w:proofErr w:type="spellStart"/>
      <w:r w:rsidRPr="003F79C1">
        <w:rPr>
          <w:color w:val="FF0000"/>
          <w:lang w:val="en-US"/>
        </w:rPr>
        <w:t>Dosedelova</w:t>
      </w:r>
      <w:proofErr w:type="spellEnd"/>
      <w:r w:rsidRPr="003F79C1">
        <w:rPr>
          <w:color w:val="FF0000"/>
          <w:lang w:val="en-US"/>
        </w:rPr>
        <w:t xml:space="preserve"> H,</w:t>
      </w:r>
      <w:r w:rsidRPr="003F79C1">
        <w:rPr>
          <w:lang w:val="en-US"/>
        </w:rPr>
        <w:t xml:space="preserve"> </w:t>
      </w:r>
      <w:proofErr w:type="spellStart"/>
      <w:r w:rsidRPr="003F79C1">
        <w:rPr>
          <w:lang w:val="en-US"/>
        </w:rPr>
        <w:t>Krejci</w:t>
      </w:r>
      <w:proofErr w:type="spellEnd"/>
      <w:r w:rsidRPr="003F79C1">
        <w:rPr>
          <w:lang w:val="en-US"/>
        </w:rPr>
        <w:t xml:space="preserve"> P, </w:t>
      </w:r>
      <w:r w:rsidRPr="003F79C1">
        <w:rPr>
          <w:bCs/>
          <w:color w:val="FF0000"/>
          <w:lang w:val="en-US"/>
        </w:rPr>
        <w:t>Buchtova M</w:t>
      </w:r>
      <w:r w:rsidRPr="003F79C1">
        <w:rPr>
          <w:color w:val="FF0000"/>
          <w:lang w:val="en-US"/>
        </w:rPr>
        <w:t>.</w:t>
      </w:r>
      <w:r w:rsidRPr="003F79C1">
        <w:rPr>
          <w:lang w:val="en-US"/>
        </w:rPr>
        <w:t xml:space="preserve"> (2017): Role of Primary Cilia in </w:t>
      </w:r>
      <w:proofErr w:type="spellStart"/>
      <w:r w:rsidRPr="003F79C1">
        <w:rPr>
          <w:lang w:val="en-US"/>
        </w:rPr>
        <w:t>Odontogenesis</w:t>
      </w:r>
      <w:proofErr w:type="spellEnd"/>
      <w:r w:rsidRPr="003F79C1">
        <w:rPr>
          <w:lang w:val="en-US"/>
        </w:rPr>
        <w:t xml:space="preserve">. </w:t>
      </w:r>
      <w:r w:rsidRPr="003F79C1">
        <w:rPr>
          <w:b/>
          <w:lang w:val="en-US"/>
        </w:rPr>
        <w:t>J Dent Res</w:t>
      </w:r>
      <w:r w:rsidRPr="003F79C1">
        <w:rPr>
          <w:lang w:val="en-US"/>
        </w:rPr>
        <w:t>. 96:965-974.</w:t>
      </w:r>
    </w:p>
    <w:p w14:paraId="478A5BD3" w14:textId="77777777" w:rsidR="00696F11" w:rsidRPr="003F79C1" w:rsidRDefault="00696F11" w:rsidP="00696F11">
      <w:pPr>
        <w:tabs>
          <w:tab w:val="left" w:pos="1701"/>
        </w:tabs>
        <w:ind w:left="1134" w:hanging="1134"/>
        <w:jc w:val="both"/>
        <w:rPr>
          <w:rFonts w:eastAsia="ヒラギノ丸ゴ Pro W4"/>
          <w:lang w:eastAsia="en-US"/>
        </w:rPr>
      </w:pPr>
      <w:r w:rsidRPr="003F79C1">
        <w:rPr>
          <w:rFonts w:eastAsia="ヒラギノ丸ゴ Pro W4"/>
          <w:lang w:eastAsia="en-US"/>
        </w:rPr>
        <w:tab/>
        <w:t>IF:</w:t>
      </w:r>
      <w:r w:rsidRPr="003F79C1">
        <w:rPr>
          <w:rFonts w:eastAsia="ヒラギノ丸ゴ Pro W4"/>
          <w:lang w:eastAsia="en-US"/>
        </w:rPr>
        <w:tab/>
        <w:t>4,755</w:t>
      </w:r>
    </w:p>
    <w:p w14:paraId="21F17F67" w14:textId="77777777" w:rsidR="00696F11" w:rsidRPr="003F79C1" w:rsidRDefault="00696F11" w:rsidP="00696F11">
      <w:pPr>
        <w:tabs>
          <w:tab w:val="left" w:pos="993"/>
        </w:tabs>
      </w:pPr>
    </w:p>
    <w:p w14:paraId="48B1636A" w14:textId="77777777" w:rsidR="00696F11" w:rsidRPr="003F79C1" w:rsidRDefault="00696F11" w:rsidP="00696F11">
      <w:pPr>
        <w:tabs>
          <w:tab w:val="left" w:pos="1701"/>
        </w:tabs>
        <w:ind w:left="1134" w:hanging="1134"/>
        <w:jc w:val="both"/>
        <w:rPr>
          <w:bCs/>
        </w:rPr>
      </w:pPr>
      <w:r w:rsidRPr="003F79C1">
        <w:rPr>
          <w:bCs/>
          <w:lang w:val="en-US"/>
        </w:rPr>
        <w:t xml:space="preserve">Hanna, C.W., </w:t>
      </w:r>
      <w:proofErr w:type="spellStart"/>
      <w:r w:rsidRPr="003F79C1">
        <w:rPr>
          <w:bCs/>
          <w:lang w:val="en-US"/>
        </w:rPr>
        <w:t>Taudt</w:t>
      </w:r>
      <w:proofErr w:type="spellEnd"/>
      <w:r w:rsidRPr="003F79C1">
        <w:rPr>
          <w:bCs/>
          <w:lang w:val="en-US"/>
        </w:rPr>
        <w:t xml:space="preserve">, A., Huang, J., </w:t>
      </w:r>
      <w:proofErr w:type="spellStart"/>
      <w:r w:rsidRPr="003F79C1">
        <w:rPr>
          <w:bCs/>
          <w:color w:val="FF0000"/>
          <w:lang w:val="en-US"/>
        </w:rPr>
        <w:t>Gahurova</w:t>
      </w:r>
      <w:proofErr w:type="spellEnd"/>
      <w:r w:rsidRPr="003F79C1">
        <w:rPr>
          <w:bCs/>
          <w:color w:val="FF0000"/>
          <w:lang w:val="en-US"/>
        </w:rPr>
        <w:t>, L.,</w:t>
      </w:r>
      <w:r w:rsidRPr="003F79C1">
        <w:rPr>
          <w:bCs/>
          <w:lang w:val="en-US"/>
        </w:rPr>
        <w:t xml:space="preserve"> </w:t>
      </w:r>
      <w:proofErr w:type="spellStart"/>
      <w:r w:rsidRPr="003F79C1">
        <w:rPr>
          <w:bCs/>
          <w:lang w:val="en-US"/>
        </w:rPr>
        <w:t>Kranz</w:t>
      </w:r>
      <w:proofErr w:type="spellEnd"/>
      <w:r w:rsidRPr="003F79C1">
        <w:rPr>
          <w:bCs/>
          <w:lang w:val="en-US"/>
        </w:rPr>
        <w:t xml:space="preserve">, A., Andrews, S., Dean, W., Stewart, A.F., </w:t>
      </w:r>
      <w:proofErr w:type="spellStart"/>
      <w:r w:rsidRPr="003F79C1">
        <w:rPr>
          <w:bCs/>
          <w:lang w:val="en-US"/>
        </w:rPr>
        <w:t>Colomé-Tatché</w:t>
      </w:r>
      <w:proofErr w:type="spellEnd"/>
      <w:r w:rsidRPr="003F79C1">
        <w:rPr>
          <w:bCs/>
          <w:lang w:val="en-US"/>
        </w:rPr>
        <w:t>, M., Kelsey, G</w:t>
      </w:r>
      <w:r w:rsidRPr="003F79C1">
        <w:rPr>
          <w:bCs/>
        </w:rPr>
        <w:t xml:space="preserve">. (2017): </w:t>
      </w:r>
      <w:r w:rsidRPr="003F79C1">
        <w:rPr>
          <w:bCs/>
          <w:lang w:val="en-US"/>
        </w:rPr>
        <w:t>MLL2 conveys transcription-independent H3K4me3 in the oocyte</w:t>
      </w:r>
      <w:r w:rsidRPr="003F79C1">
        <w:rPr>
          <w:bCs/>
        </w:rPr>
        <w:t xml:space="preserve">. </w:t>
      </w:r>
      <w:proofErr w:type="spellStart"/>
      <w:r w:rsidRPr="003F79C1">
        <w:rPr>
          <w:b/>
          <w:bCs/>
        </w:rPr>
        <w:t>Nature</w:t>
      </w:r>
      <w:proofErr w:type="spellEnd"/>
      <w:r w:rsidRPr="003F79C1">
        <w:rPr>
          <w:b/>
          <w:bCs/>
        </w:rPr>
        <w:t xml:space="preserve"> </w:t>
      </w:r>
      <w:proofErr w:type="spellStart"/>
      <w:r w:rsidRPr="003F79C1">
        <w:rPr>
          <w:b/>
          <w:bCs/>
        </w:rPr>
        <w:t>Struct.Mol.Biol</w:t>
      </w:r>
      <w:proofErr w:type="spellEnd"/>
      <w:r w:rsidRPr="003F79C1">
        <w:rPr>
          <w:bCs/>
        </w:rPr>
        <w:t xml:space="preserve">., in </w:t>
      </w:r>
      <w:proofErr w:type="spellStart"/>
      <w:r w:rsidRPr="003F79C1">
        <w:rPr>
          <w:bCs/>
        </w:rPr>
        <w:t>press</w:t>
      </w:r>
      <w:proofErr w:type="spellEnd"/>
      <w:r w:rsidRPr="003F79C1">
        <w:rPr>
          <w:bCs/>
        </w:rPr>
        <w:t>.</w:t>
      </w:r>
    </w:p>
    <w:p w14:paraId="583FC0E8" w14:textId="77777777" w:rsidR="00696F11" w:rsidRPr="003F79C1" w:rsidRDefault="00696F11" w:rsidP="00696F11">
      <w:pPr>
        <w:tabs>
          <w:tab w:val="left" w:pos="1701"/>
        </w:tabs>
        <w:ind w:left="1134" w:hanging="1134"/>
        <w:jc w:val="both"/>
        <w:rPr>
          <w:bCs/>
        </w:rPr>
      </w:pPr>
      <w:r w:rsidRPr="003F79C1">
        <w:rPr>
          <w:bCs/>
        </w:rPr>
        <w:tab/>
        <w:t>IF:</w:t>
      </w:r>
      <w:r w:rsidRPr="003F79C1">
        <w:rPr>
          <w:bCs/>
        </w:rPr>
        <w:tab/>
        <w:t>12,595</w:t>
      </w:r>
    </w:p>
    <w:p w14:paraId="20D87799" w14:textId="77777777" w:rsidR="00696F11" w:rsidRPr="003F79C1" w:rsidRDefault="00696F11" w:rsidP="00696F11">
      <w:pPr>
        <w:tabs>
          <w:tab w:val="left" w:pos="993"/>
        </w:tabs>
      </w:pPr>
    </w:p>
    <w:p w14:paraId="542C7811" w14:textId="77777777" w:rsidR="00244B9A" w:rsidRPr="003F79C1" w:rsidRDefault="00244B9A" w:rsidP="00244B9A">
      <w:pPr>
        <w:tabs>
          <w:tab w:val="left" w:pos="993"/>
        </w:tabs>
        <w:ind w:left="993" w:hanging="993"/>
        <w:rPr>
          <w:lang w:val="en-US"/>
        </w:rPr>
      </w:pPr>
      <w:r w:rsidRPr="003F79C1">
        <w:rPr>
          <w:bCs/>
          <w:color w:val="FF0000"/>
          <w:lang w:val="en-US"/>
        </w:rPr>
        <w:t>Janko K</w:t>
      </w:r>
      <w:r w:rsidRPr="003F79C1">
        <w:rPr>
          <w:color w:val="FF0000"/>
          <w:lang w:val="en-US"/>
        </w:rPr>
        <w:t>,</w:t>
      </w:r>
      <w:r w:rsidRPr="003F79C1">
        <w:rPr>
          <w:lang w:val="en-US"/>
        </w:rPr>
        <w:t xml:space="preserve"> </w:t>
      </w:r>
      <w:proofErr w:type="spellStart"/>
      <w:r w:rsidRPr="003F79C1">
        <w:rPr>
          <w:color w:val="FF0000"/>
          <w:lang w:val="en-US"/>
        </w:rPr>
        <w:t>Pačes</w:t>
      </w:r>
      <w:proofErr w:type="spellEnd"/>
      <w:r w:rsidRPr="003F79C1">
        <w:rPr>
          <w:color w:val="FF0000"/>
          <w:lang w:val="en-US"/>
        </w:rPr>
        <w:t xml:space="preserve"> J,</w:t>
      </w:r>
      <w:r w:rsidRPr="003F79C1">
        <w:rPr>
          <w:lang w:val="en-US"/>
        </w:rPr>
        <w:t xml:space="preserve"> Wilkinson-</w:t>
      </w:r>
      <w:proofErr w:type="spellStart"/>
      <w:r w:rsidRPr="003F79C1">
        <w:rPr>
          <w:lang w:val="en-US"/>
        </w:rPr>
        <w:t>Herbots</w:t>
      </w:r>
      <w:proofErr w:type="spellEnd"/>
      <w:r w:rsidRPr="003F79C1">
        <w:rPr>
          <w:lang w:val="en-US"/>
        </w:rPr>
        <w:t xml:space="preserve"> H, Costa RJ, </w:t>
      </w:r>
      <w:r w:rsidRPr="003F79C1">
        <w:rPr>
          <w:color w:val="FF0000"/>
          <w:lang w:val="en-US"/>
        </w:rPr>
        <w:t>Roslein J,</w:t>
      </w:r>
      <w:r w:rsidRPr="003F79C1">
        <w:rPr>
          <w:lang w:val="en-US"/>
        </w:rPr>
        <w:t xml:space="preserve"> </w:t>
      </w:r>
      <w:proofErr w:type="spellStart"/>
      <w:r w:rsidRPr="003F79C1">
        <w:rPr>
          <w:lang w:val="en-US"/>
        </w:rPr>
        <w:t>Drozd</w:t>
      </w:r>
      <w:proofErr w:type="spellEnd"/>
      <w:r w:rsidRPr="003F79C1">
        <w:rPr>
          <w:lang w:val="en-US"/>
        </w:rPr>
        <w:t xml:space="preserve"> P, </w:t>
      </w:r>
      <w:r w:rsidRPr="003F79C1">
        <w:rPr>
          <w:color w:val="FF0000"/>
          <w:lang w:val="en-US"/>
        </w:rPr>
        <w:t>Iakovenko N</w:t>
      </w:r>
      <w:r w:rsidRPr="003F79C1">
        <w:rPr>
          <w:lang w:val="en-US"/>
        </w:rPr>
        <w:t xml:space="preserve">, </w:t>
      </w:r>
      <w:proofErr w:type="spellStart"/>
      <w:r w:rsidRPr="003F79C1">
        <w:rPr>
          <w:lang w:val="en-US"/>
        </w:rPr>
        <w:t>Rídl</w:t>
      </w:r>
      <w:proofErr w:type="spellEnd"/>
      <w:r w:rsidRPr="003F79C1">
        <w:rPr>
          <w:lang w:val="en-US"/>
        </w:rPr>
        <w:t xml:space="preserve"> J, </w:t>
      </w:r>
      <w:proofErr w:type="spellStart"/>
      <w:r w:rsidRPr="003F79C1">
        <w:rPr>
          <w:lang w:val="en-US"/>
        </w:rPr>
        <w:t>Hroudová</w:t>
      </w:r>
      <w:proofErr w:type="spellEnd"/>
      <w:r w:rsidRPr="003F79C1">
        <w:rPr>
          <w:lang w:val="en-US"/>
        </w:rPr>
        <w:t xml:space="preserve"> M, </w:t>
      </w:r>
      <w:proofErr w:type="spellStart"/>
      <w:r w:rsidRPr="003F79C1">
        <w:rPr>
          <w:color w:val="FF0000"/>
          <w:lang w:val="en-US"/>
        </w:rPr>
        <w:t>Kočí</w:t>
      </w:r>
      <w:proofErr w:type="spellEnd"/>
      <w:r w:rsidRPr="003F79C1">
        <w:rPr>
          <w:color w:val="FF0000"/>
          <w:lang w:val="en-US"/>
        </w:rPr>
        <w:t xml:space="preserve"> J,</w:t>
      </w:r>
      <w:r w:rsidRPr="003F79C1">
        <w:rPr>
          <w:lang w:val="en-US"/>
        </w:rPr>
        <w:t xml:space="preserve"> </w:t>
      </w:r>
      <w:proofErr w:type="spellStart"/>
      <w:r w:rsidRPr="003F79C1">
        <w:rPr>
          <w:lang w:val="en-US"/>
        </w:rPr>
        <w:t>Reifová</w:t>
      </w:r>
      <w:proofErr w:type="spellEnd"/>
      <w:r w:rsidRPr="003F79C1">
        <w:rPr>
          <w:lang w:val="en-US"/>
        </w:rPr>
        <w:t xml:space="preserve"> R, </w:t>
      </w:r>
      <w:r w:rsidRPr="003F79C1">
        <w:rPr>
          <w:color w:val="FF0000"/>
          <w:lang w:val="en-US"/>
        </w:rPr>
        <w:t>Šlechtová V, Choleva L.</w:t>
      </w:r>
      <w:r w:rsidRPr="003F79C1">
        <w:rPr>
          <w:lang w:val="en-US"/>
        </w:rPr>
        <w:t xml:space="preserve"> (2017): Hybrid asexuality as a primary postzygotic barrier between nascent species: </w:t>
      </w:r>
      <w:r w:rsidRPr="003F79C1">
        <w:rPr>
          <w:lang w:val="en-US"/>
        </w:rPr>
        <w:lastRenderedPageBreak/>
        <w:t xml:space="preserve">On the interconnection between asexuality, hybridization and speciation. </w:t>
      </w:r>
      <w:proofErr w:type="spellStart"/>
      <w:r w:rsidRPr="003F79C1">
        <w:rPr>
          <w:b/>
          <w:lang w:val="en-US"/>
        </w:rPr>
        <w:t>Mol</w:t>
      </w:r>
      <w:proofErr w:type="spellEnd"/>
      <w:r w:rsidRPr="003F79C1">
        <w:rPr>
          <w:b/>
          <w:lang w:val="en-US"/>
        </w:rPr>
        <w:t xml:space="preserve"> Ecol.</w:t>
      </w:r>
      <w:r w:rsidRPr="003F79C1">
        <w:rPr>
          <w:lang w:val="en-US"/>
        </w:rPr>
        <w:t xml:space="preserve"> 2017 Oct 7. </w:t>
      </w:r>
      <w:proofErr w:type="spellStart"/>
      <w:proofErr w:type="gramStart"/>
      <w:r w:rsidRPr="003F79C1">
        <w:rPr>
          <w:lang w:val="en-US"/>
        </w:rPr>
        <w:t>doi</w:t>
      </w:r>
      <w:proofErr w:type="spellEnd"/>
      <w:proofErr w:type="gramEnd"/>
      <w:r w:rsidRPr="003F79C1">
        <w:rPr>
          <w:lang w:val="en-US"/>
        </w:rPr>
        <w:t>: 10.1111/mec.14377. [</w:t>
      </w:r>
      <w:proofErr w:type="spellStart"/>
      <w:r w:rsidRPr="003F79C1">
        <w:rPr>
          <w:lang w:val="en-US"/>
        </w:rPr>
        <w:t>Epub</w:t>
      </w:r>
      <w:proofErr w:type="spellEnd"/>
      <w:r w:rsidRPr="003F79C1">
        <w:rPr>
          <w:lang w:val="en-US"/>
        </w:rPr>
        <w:t xml:space="preserve"> ahead of print]</w:t>
      </w:r>
    </w:p>
    <w:p w14:paraId="4906F52C" w14:textId="77777777" w:rsidR="00244B9A" w:rsidRPr="003F79C1" w:rsidRDefault="00244B9A" w:rsidP="00244B9A">
      <w:pPr>
        <w:tabs>
          <w:tab w:val="left" w:pos="993"/>
        </w:tabs>
        <w:ind w:left="993" w:hanging="993"/>
      </w:pPr>
      <w:r w:rsidRPr="003F79C1">
        <w:tab/>
        <w:t>IF:</w:t>
      </w:r>
      <w:r w:rsidRPr="003F79C1">
        <w:tab/>
      </w:r>
      <w:r w:rsidRPr="003F79C1">
        <w:tab/>
        <w:t>6,086</w:t>
      </w:r>
    </w:p>
    <w:p w14:paraId="2AF88063" w14:textId="77777777" w:rsidR="00244B9A" w:rsidRPr="003F79C1" w:rsidRDefault="00244B9A" w:rsidP="00244B9A">
      <w:pPr>
        <w:tabs>
          <w:tab w:val="left" w:pos="993"/>
        </w:tabs>
      </w:pPr>
    </w:p>
    <w:p w14:paraId="3E7EB3C2" w14:textId="77777777" w:rsidR="005D0BAC" w:rsidRPr="003F79C1" w:rsidRDefault="005D0BAC" w:rsidP="005D0BAC">
      <w:pPr>
        <w:ind w:left="1134" w:hanging="1134"/>
        <w:jc w:val="both"/>
        <w:rPr>
          <w:bCs/>
          <w:lang w:val="en-US"/>
        </w:rPr>
      </w:pPr>
      <w:r w:rsidRPr="003F79C1">
        <w:rPr>
          <w:bCs/>
          <w:lang w:val="en-US"/>
        </w:rPr>
        <w:t>Jensen-</w:t>
      </w:r>
      <w:proofErr w:type="spellStart"/>
      <w:r w:rsidRPr="003F79C1">
        <w:rPr>
          <w:bCs/>
          <w:lang w:val="en-US"/>
        </w:rPr>
        <w:t>Jarolim</w:t>
      </w:r>
      <w:proofErr w:type="spellEnd"/>
      <w:r w:rsidRPr="003F79C1">
        <w:rPr>
          <w:bCs/>
          <w:lang w:val="en-US"/>
        </w:rPr>
        <w:t xml:space="preserve"> E, </w:t>
      </w:r>
      <w:proofErr w:type="spellStart"/>
      <w:r w:rsidRPr="003F79C1">
        <w:rPr>
          <w:bCs/>
          <w:lang w:val="en-US"/>
        </w:rPr>
        <w:t>Bax</w:t>
      </w:r>
      <w:proofErr w:type="spellEnd"/>
      <w:r w:rsidRPr="003F79C1">
        <w:rPr>
          <w:bCs/>
          <w:lang w:val="en-US"/>
        </w:rPr>
        <w:t xml:space="preserve"> HJ, </w:t>
      </w:r>
      <w:proofErr w:type="spellStart"/>
      <w:r w:rsidRPr="003F79C1">
        <w:rPr>
          <w:bCs/>
          <w:lang w:val="en-US"/>
        </w:rPr>
        <w:t>Bianchini</w:t>
      </w:r>
      <w:proofErr w:type="spellEnd"/>
      <w:r w:rsidRPr="003F79C1">
        <w:rPr>
          <w:bCs/>
          <w:lang w:val="en-US"/>
        </w:rPr>
        <w:t xml:space="preserve"> R, Capron M, Corrigan C, Castells M, </w:t>
      </w:r>
      <w:proofErr w:type="spellStart"/>
      <w:r w:rsidRPr="003F79C1">
        <w:rPr>
          <w:bCs/>
          <w:lang w:val="en-US"/>
        </w:rPr>
        <w:t>Dombrowicz</w:t>
      </w:r>
      <w:proofErr w:type="spellEnd"/>
      <w:r w:rsidRPr="003F79C1">
        <w:rPr>
          <w:bCs/>
          <w:lang w:val="en-US"/>
        </w:rPr>
        <w:t xml:space="preserve"> D, Daniels-Wells TR, </w:t>
      </w:r>
      <w:proofErr w:type="spellStart"/>
      <w:r w:rsidRPr="003F79C1">
        <w:rPr>
          <w:bCs/>
          <w:lang w:val="en-US"/>
        </w:rPr>
        <w:t>Fazekas</w:t>
      </w:r>
      <w:proofErr w:type="spellEnd"/>
      <w:r w:rsidRPr="003F79C1">
        <w:rPr>
          <w:bCs/>
          <w:lang w:val="en-US"/>
        </w:rPr>
        <w:t xml:space="preserve"> J, </w:t>
      </w:r>
      <w:proofErr w:type="spellStart"/>
      <w:r w:rsidRPr="003F79C1">
        <w:rPr>
          <w:bCs/>
          <w:lang w:val="en-US"/>
        </w:rPr>
        <w:t>Fiebiger</w:t>
      </w:r>
      <w:proofErr w:type="spellEnd"/>
      <w:r w:rsidRPr="003F79C1">
        <w:rPr>
          <w:bCs/>
          <w:lang w:val="en-US"/>
        </w:rPr>
        <w:t xml:space="preserve"> E, </w:t>
      </w:r>
      <w:proofErr w:type="spellStart"/>
      <w:r w:rsidRPr="003F79C1">
        <w:rPr>
          <w:bCs/>
          <w:lang w:val="en-US"/>
        </w:rPr>
        <w:t>Gatault</w:t>
      </w:r>
      <w:proofErr w:type="spellEnd"/>
      <w:r w:rsidRPr="003F79C1">
        <w:rPr>
          <w:bCs/>
          <w:lang w:val="en-US"/>
        </w:rPr>
        <w:t xml:space="preserve"> S, Gould HJ, </w:t>
      </w:r>
      <w:proofErr w:type="spellStart"/>
      <w:r w:rsidRPr="003F79C1">
        <w:rPr>
          <w:bCs/>
          <w:color w:val="FF0000"/>
          <w:lang w:val="en-US"/>
        </w:rPr>
        <w:t>Janda</w:t>
      </w:r>
      <w:proofErr w:type="spellEnd"/>
      <w:r w:rsidRPr="003F79C1">
        <w:rPr>
          <w:bCs/>
          <w:color w:val="FF0000"/>
          <w:lang w:val="en-US"/>
        </w:rPr>
        <w:t xml:space="preserve"> J</w:t>
      </w:r>
      <w:r w:rsidRPr="003F79C1">
        <w:rPr>
          <w:bCs/>
          <w:u w:val="single"/>
          <w:lang w:val="en-US"/>
        </w:rPr>
        <w:t>,</w:t>
      </w:r>
      <w:r w:rsidRPr="003F79C1">
        <w:rPr>
          <w:bCs/>
          <w:lang w:val="en-US"/>
        </w:rPr>
        <w:t xml:space="preserve"> Josephs DH, </w:t>
      </w:r>
      <w:proofErr w:type="spellStart"/>
      <w:r w:rsidRPr="003F79C1">
        <w:rPr>
          <w:bCs/>
          <w:lang w:val="en-US"/>
        </w:rPr>
        <w:t>Karagiannis</w:t>
      </w:r>
      <w:proofErr w:type="spellEnd"/>
      <w:r w:rsidRPr="003F79C1">
        <w:rPr>
          <w:bCs/>
          <w:lang w:val="en-US"/>
        </w:rPr>
        <w:t xml:space="preserve"> P, Levi-Schaffer F, </w:t>
      </w:r>
      <w:proofErr w:type="spellStart"/>
      <w:r w:rsidRPr="003F79C1">
        <w:rPr>
          <w:bCs/>
          <w:lang w:val="en-US"/>
        </w:rPr>
        <w:t>Meshcheryakova</w:t>
      </w:r>
      <w:proofErr w:type="spellEnd"/>
      <w:r w:rsidRPr="003F79C1">
        <w:rPr>
          <w:bCs/>
          <w:lang w:val="en-US"/>
        </w:rPr>
        <w:t xml:space="preserve"> A, </w:t>
      </w:r>
      <w:proofErr w:type="spellStart"/>
      <w:r w:rsidRPr="003F79C1">
        <w:rPr>
          <w:bCs/>
          <w:lang w:val="en-US"/>
        </w:rPr>
        <w:t>Mechtcheriakova</w:t>
      </w:r>
      <w:proofErr w:type="spellEnd"/>
      <w:r w:rsidRPr="003F79C1">
        <w:rPr>
          <w:bCs/>
          <w:lang w:val="en-US"/>
        </w:rPr>
        <w:t xml:space="preserve"> D, </w:t>
      </w:r>
      <w:proofErr w:type="spellStart"/>
      <w:r w:rsidRPr="003F79C1">
        <w:rPr>
          <w:bCs/>
          <w:lang w:val="en-US"/>
        </w:rPr>
        <w:t>Mekori</w:t>
      </w:r>
      <w:proofErr w:type="spellEnd"/>
      <w:r w:rsidRPr="003F79C1">
        <w:rPr>
          <w:bCs/>
          <w:lang w:val="en-US"/>
        </w:rPr>
        <w:t xml:space="preserve"> Y, </w:t>
      </w:r>
      <w:proofErr w:type="spellStart"/>
      <w:r w:rsidRPr="003F79C1">
        <w:rPr>
          <w:bCs/>
          <w:lang w:val="en-US"/>
        </w:rPr>
        <w:t>Mungenast</w:t>
      </w:r>
      <w:proofErr w:type="spellEnd"/>
      <w:r w:rsidRPr="003F79C1">
        <w:rPr>
          <w:bCs/>
          <w:lang w:val="en-US"/>
        </w:rPr>
        <w:t xml:space="preserve"> F, </w:t>
      </w:r>
      <w:proofErr w:type="spellStart"/>
      <w:r w:rsidRPr="003F79C1">
        <w:rPr>
          <w:bCs/>
          <w:lang w:val="en-US"/>
        </w:rPr>
        <w:t>Nigro</w:t>
      </w:r>
      <w:proofErr w:type="spellEnd"/>
      <w:r w:rsidRPr="003F79C1">
        <w:rPr>
          <w:bCs/>
          <w:lang w:val="en-US"/>
        </w:rPr>
        <w:t xml:space="preserve"> EA, </w:t>
      </w:r>
      <w:proofErr w:type="spellStart"/>
      <w:r w:rsidRPr="003F79C1">
        <w:rPr>
          <w:bCs/>
          <w:lang w:val="en-US"/>
        </w:rPr>
        <w:t>Penichet</w:t>
      </w:r>
      <w:proofErr w:type="spellEnd"/>
      <w:r w:rsidRPr="003F79C1">
        <w:rPr>
          <w:bCs/>
          <w:lang w:val="en-US"/>
        </w:rPr>
        <w:t xml:space="preserve"> ML, </w:t>
      </w:r>
      <w:proofErr w:type="spellStart"/>
      <w:r w:rsidRPr="003F79C1">
        <w:rPr>
          <w:bCs/>
          <w:lang w:val="en-US"/>
        </w:rPr>
        <w:t>Redegeld</w:t>
      </w:r>
      <w:proofErr w:type="spellEnd"/>
      <w:r w:rsidRPr="003F79C1">
        <w:rPr>
          <w:bCs/>
          <w:lang w:val="en-US"/>
        </w:rPr>
        <w:t xml:space="preserve"> F, Saul L, Singer J, Spicer JF, </w:t>
      </w:r>
      <w:proofErr w:type="spellStart"/>
      <w:r w:rsidRPr="003F79C1">
        <w:rPr>
          <w:bCs/>
          <w:lang w:val="en-US"/>
        </w:rPr>
        <w:t>Siccardi</w:t>
      </w:r>
      <w:proofErr w:type="spellEnd"/>
      <w:r w:rsidRPr="003F79C1">
        <w:rPr>
          <w:bCs/>
          <w:lang w:val="en-US"/>
        </w:rPr>
        <w:t xml:space="preserve"> AG, </w:t>
      </w:r>
      <w:proofErr w:type="spellStart"/>
      <w:r w:rsidRPr="003F79C1">
        <w:rPr>
          <w:bCs/>
          <w:lang w:val="en-US"/>
        </w:rPr>
        <w:t>Spillner</w:t>
      </w:r>
      <w:proofErr w:type="spellEnd"/>
      <w:r w:rsidRPr="003F79C1">
        <w:rPr>
          <w:bCs/>
          <w:lang w:val="en-US"/>
        </w:rPr>
        <w:t xml:space="preserve"> E, Turner MC, </w:t>
      </w:r>
      <w:proofErr w:type="spellStart"/>
      <w:r w:rsidRPr="003F79C1">
        <w:rPr>
          <w:bCs/>
          <w:lang w:val="en-US"/>
        </w:rPr>
        <w:t>Untersmayr</w:t>
      </w:r>
      <w:proofErr w:type="spellEnd"/>
      <w:r w:rsidRPr="003F79C1">
        <w:rPr>
          <w:bCs/>
          <w:lang w:val="en-US"/>
        </w:rPr>
        <w:t xml:space="preserve"> E, </w:t>
      </w:r>
      <w:proofErr w:type="spellStart"/>
      <w:r w:rsidRPr="003F79C1">
        <w:rPr>
          <w:bCs/>
          <w:lang w:val="en-US"/>
        </w:rPr>
        <w:t>Vangelista</w:t>
      </w:r>
      <w:proofErr w:type="spellEnd"/>
      <w:r w:rsidRPr="003F79C1">
        <w:rPr>
          <w:bCs/>
          <w:lang w:val="en-US"/>
        </w:rPr>
        <w:t xml:space="preserve"> L, </w:t>
      </w:r>
      <w:proofErr w:type="spellStart"/>
      <w:r w:rsidRPr="003F79C1">
        <w:rPr>
          <w:bCs/>
          <w:lang w:val="en-US"/>
        </w:rPr>
        <w:t>Karagiannis</w:t>
      </w:r>
      <w:proofErr w:type="spellEnd"/>
      <w:r w:rsidRPr="003F79C1">
        <w:rPr>
          <w:bCs/>
          <w:lang w:val="en-US"/>
        </w:rPr>
        <w:t xml:space="preserve"> SN. (2017): </w:t>
      </w:r>
      <w:proofErr w:type="spellStart"/>
      <w:r w:rsidRPr="003F79C1">
        <w:rPr>
          <w:bCs/>
          <w:lang w:val="en-US"/>
        </w:rPr>
        <w:t>AllergoOncology</w:t>
      </w:r>
      <w:proofErr w:type="spellEnd"/>
      <w:r w:rsidRPr="003F79C1">
        <w:rPr>
          <w:bCs/>
          <w:lang w:val="en-US"/>
        </w:rPr>
        <w:t xml:space="preserve"> - the impact of allergy in oncology: EAACI position paper. </w:t>
      </w:r>
      <w:r w:rsidRPr="003F79C1">
        <w:rPr>
          <w:b/>
          <w:bCs/>
          <w:lang w:val="en-US"/>
        </w:rPr>
        <w:t>Allergy</w:t>
      </w:r>
      <w:r w:rsidRPr="003F79C1">
        <w:rPr>
          <w:bCs/>
          <w:lang w:val="en-US"/>
        </w:rPr>
        <w:t>. 72:866-887.</w:t>
      </w:r>
    </w:p>
    <w:p w14:paraId="1DC2E6A8" w14:textId="77777777" w:rsidR="005D0BAC" w:rsidRPr="003F79C1" w:rsidRDefault="005D0BAC" w:rsidP="005D0BAC">
      <w:pPr>
        <w:ind w:left="1134" w:hanging="1134"/>
        <w:jc w:val="both"/>
        <w:rPr>
          <w:bCs/>
        </w:rPr>
      </w:pPr>
      <w:r w:rsidRPr="003F79C1">
        <w:rPr>
          <w:bCs/>
        </w:rPr>
        <w:tab/>
        <w:t>IF:</w:t>
      </w:r>
      <w:r w:rsidRPr="003F79C1">
        <w:rPr>
          <w:bCs/>
        </w:rPr>
        <w:tab/>
      </w:r>
      <w:r w:rsidRPr="003F79C1">
        <w:rPr>
          <w:bCs/>
        </w:rPr>
        <w:tab/>
        <w:t>7,361</w:t>
      </w:r>
    </w:p>
    <w:p w14:paraId="7C9D0B6B" w14:textId="77777777" w:rsidR="005D0BAC" w:rsidRPr="003F79C1" w:rsidRDefault="005D0BAC" w:rsidP="00696F11">
      <w:pPr>
        <w:tabs>
          <w:tab w:val="left" w:pos="993"/>
        </w:tabs>
      </w:pPr>
    </w:p>
    <w:p w14:paraId="2FCBF4E5" w14:textId="77777777" w:rsidR="005D0BAC" w:rsidRPr="003F79C1" w:rsidRDefault="005D0BAC" w:rsidP="00696F11">
      <w:pPr>
        <w:tabs>
          <w:tab w:val="left" w:pos="993"/>
        </w:tabs>
      </w:pPr>
      <w:bookmarkStart w:id="0" w:name="_GoBack"/>
      <w:bookmarkEnd w:id="0"/>
    </w:p>
    <w:sectPr w:rsidR="005D0BAC" w:rsidRPr="003F79C1" w:rsidSect="00343D2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11"/>
    <w:rsid w:val="00175509"/>
    <w:rsid w:val="001D1059"/>
    <w:rsid w:val="00201F5C"/>
    <w:rsid w:val="00244B9A"/>
    <w:rsid w:val="00343D26"/>
    <w:rsid w:val="003F21AD"/>
    <w:rsid w:val="003F79C1"/>
    <w:rsid w:val="004929BF"/>
    <w:rsid w:val="005D0BAC"/>
    <w:rsid w:val="00696F11"/>
    <w:rsid w:val="007426D4"/>
    <w:rsid w:val="0076488A"/>
    <w:rsid w:val="00B11F8C"/>
    <w:rsid w:val="00BB106E"/>
    <w:rsid w:val="00CA008A"/>
    <w:rsid w:val="00D96656"/>
    <w:rsid w:val="00E36F9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47991"/>
  <w15:docId w15:val="{05ACDC5A-922C-4801-8571-AD317A71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6F11"/>
    <w:pPr>
      <w:spacing w:after="0"/>
    </w:pPr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Animal Physiology and Genetics, ASCR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Kubelka</dc:creator>
  <cp:keywords/>
  <dc:description/>
  <cp:lastModifiedBy>Jana Zasmetova</cp:lastModifiedBy>
  <cp:revision>2</cp:revision>
  <dcterms:created xsi:type="dcterms:W3CDTF">2018-06-19T08:57:00Z</dcterms:created>
  <dcterms:modified xsi:type="dcterms:W3CDTF">2018-06-19T08:57:00Z</dcterms:modified>
</cp:coreProperties>
</file>