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23841" w14:textId="77777777" w:rsidR="00696F11" w:rsidRDefault="00696F11" w:rsidP="00696F11">
      <w:pPr>
        <w:widowControl w:val="0"/>
        <w:tabs>
          <w:tab w:val="left" w:pos="993"/>
        </w:tabs>
        <w:autoSpaceDE w:val="0"/>
        <w:autoSpaceDN w:val="0"/>
        <w:adjustRightInd w:val="0"/>
        <w:ind w:left="993" w:hanging="993"/>
        <w:jc w:val="both"/>
        <w:rPr>
          <w:rFonts w:cs="Arial"/>
          <w:lang w:val="en-US" w:eastAsia="en-US"/>
        </w:rPr>
      </w:pPr>
    </w:p>
    <w:p w14:paraId="2FCBF4E5" w14:textId="77777777" w:rsidR="005D0BAC" w:rsidRDefault="005D0BAC" w:rsidP="00696F11">
      <w:pPr>
        <w:tabs>
          <w:tab w:val="left" w:pos="993"/>
        </w:tabs>
      </w:pPr>
    </w:p>
    <w:p w14:paraId="2B70F0F7" w14:textId="77777777" w:rsidR="00696F11" w:rsidRPr="003C49C0" w:rsidRDefault="001D1059" w:rsidP="00696F11">
      <w:pPr>
        <w:tabs>
          <w:tab w:val="left" w:pos="993"/>
        </w:tabs>
        <w:rPr>
          <w:b/>
        </w:rPr>
      </w:pPr>
      <w:r w:rsidRPr="003C49C0">
        <w:rPr>
          <w:b/>
        </w:rPr>
        <w:t>2016:</w:t>
      </w:r>
    </w:p>
    <w:p w14:paraId="26D8F90A" w14:textId="77777777" w:rsidR="00175509" w:rsidRPr="003C49C0" w:rsidRDefault="00175509" w:rsidP="00175509">
      <w:pPr>
        <w:tabs>
          <w:tab w:val="left" w:pos="1701"/>
        </w:tabs>
        <w:ind w:left="1134" w:hanging="1134"/>
        <w:jc w:val="both"/>
        <w:rPr>
          <w:bCs/>
          <w:lang w:val="en-US" w:eastAsia="en-US"/>
        </w:rPr>
      </w:pPr>
      <w:r w:rsidRPr="003C49C0">
        <w:rPr>
          <w:bCs/>
          <w:lang w:val="en-US" w:eastAsia="en-US"/>
        </w:rPr>
        <w:t xml:space="preserve">Gudernova I, </w:t>
      </w:r>
      <w:r w:rsidRPr="003C49C0">
        <w:rPr>
          <w:bCs/>
          <w:color w:val="FF0000"/>
          <w:lang w:val="en-US" w:eastAsia="en-US"/>
        </w:rPr>
        <w:t>Vesela I</w:t>
      </w:r>
      <w:r w:rsidRPr="003C49C0">
        <w:rPr>
          <w:bCs/>
          <w:u w:val="dash"/>
          <w:lang w:val="en-US" w:eastAsia="en-US"/>
        </w:rPr>
        <w:t xml:space="preserve">, </w:t>
      </w:r>
      <w:r w:rsidRPr="003C49C0">
        <w:rPr>
          <w:bCs/>
          <w:lang w:val="en-US" w:eastAsia="en-US"/>
        </w:rPr>
        <w:t xml:space="preserve">Balek L, </w:t>
      </w:r>
      <w:r w:rsidRPr="003C49C0">
        <w:rPr>
          <w:bCs/>
          <w:color w:val="FF0000"/>
          <w:lang w:val="en-US" w:eastAsia="en-US"/>
        </w:rPr>
        <w:t>Buchtova M, Dosedelova H,</w:t>
      </w:r>
      <w:r w:rsidRPr="003C49C0">
        <w:rPr>
          <w:bCs/>
          <w:lang w:val="en-US" w:eastAsia="en-US"/>
        </w:rPr>
        <w:t xml:space="preserve"> Kunova M, Pivnicka J, Jelinkova I, Roubalova L, Kozubik A, Krejci P. (2016): Multikinase activity of fibroblast growth factor receptor (FGFR) inhibitors SU5402, PD173074, AZD1480, AZD4547 and BGJ398 compromises the use of small chemicals targeting FGFR catalytic activity for therapy of short stature syndromes. </w:t>
      </w:r>
      <w:r w:rsidRPr="003C49C0">
        <w:rPr>
          <w:b/>
          <w:bCs/>
          <w:lang w:val="en-US" w:eastAsia="en-US"/>
        </w:rPr>
        <w:t>Hum Mol Genet.,</w:t>
      </w:r>
      <w:r w:rsidRPr="003C49C0">
        <w:rPr>
          <w:bCs/>
          <w:lang w:val="en-US" w:eastAsia="en-US"/>
        </w:rPr>
        <w:t xml:space="preserve"> 25:9-23.</w:t>
      </w:r>
    </w:p>
    <w:p w14:paraId="6CD6CF25" w14:textId="77777777" w:rsidR="00175509" w:rsidRPr="003C49C0" w:rsidRDefault="00175509" w:rsidP="00175509">
      <w:pPr>
        <w:tabs>
          <w:tab w:val="left" w:pos="1701"/>
        </w:tabs>
        <w:ind w:left="1134" w:hanging="1134"/>
        <w:jc w:val="both"/>
        <w:rPr>
          <w:rFonts w:eastAsia="ヒラギノ丸ゴ Pro W4"/>
          <w:lang w:eastAsia="en-US"/>
        </w:rPr>
      </w:pPr>
      <w:r w:rsidRPr="003C49C0">
        <w:rPr>
          <w:rFonts w:eastAsia="ヒラギノ丸ゴ Pro W4"/>
          <w:lang w:eastAsia="en-US"/>
        </w:rPr>
        <w:tab/>
        <w:t>IF:</w:t>
      </w:r>
      <w:r w:rsidRPr="003C49C0">
        <w:rPr>
          <w:rFonts w:eastAsia="ヒラギノ丸ゴ Pro W4"/>
          <w:lang w:eastAsia="en-US"/>
        </w:rPr>
        <w:tab/>
        <w:t>5,985 (6,353 5-year)</w:t>
      </w:r>
    </w:p>
    <w:p w14:paraId="07D5A878" w14:textId="77777777" w:rsidR="001D1059" w:rsidRPr="003C49C0" w:rsidRDefault="001D1059" w:rsidP="00696F11">
      <w:pPr>
        <w:tabs>
          <w:tab w:val="left" w:pos="993"/>
        </w:tabs>
      </w:pPr>
    </w:p>
    <w:p w14:paraId="2AACB7F8" w14:textId="77777777" w:rsidR="00175509" w:rsidRPr="003C49C0" w:rsidRDefault="00175509" w:rsidP="00175509">
      <w:pPr>
        <w:tabs>
          <w:tab w:val="left" w:pos="1701"/>
        </w:tabs>
        <w:ind w:left="1134" w:hanging="1134"/>
        <w:jc w:val="both"/>
        <w:rPr>
          <w:bCs/>
          <w:lang w:val="en-US"/>
        </w:rPr>
      </w:pPr>
      <w:r w:rsidRPr="003C49C0">
        <w:rPr>
          <w:bCs/>
          <w:lang w:val="en-US"/>
        </w:rPr>
        <w:t xml:space="preserve">Mueller RS, </w:t>
      </w:r>
      <w:r w:rsidRPr="003C49C0">
        <w:rPr>
          <w:bCs/>
          <w:color w:val="FF0000"/>
          <w:lang w:val="en-US"/>
        </w:rPr>
        <w:t>Janda J,</w:t>
      </w:r>
      <w:r w:rsidRPr="003C49C0">
        <w:rPr>
          <w:bCs/>
          <w:lang w:val="en-US"/>
        </w:rPr>
        <w:t xml:space="preserve"> Jensen-Jarolim E, Rhyner C, Marti E. (2016): Allergens in Veterinary Medicine. </w:t>
      </w:r>
      <w:r w:rsidRPr="003C49C0">
        <w:rPr>
          <w:b/>
          <w:bCs/>
          <w:lang w:val="en-US"/>
        </w:rPr>
        <w:t>Allergy.</w:t>
      </w:r>
      <w:r w:rsidRPr="003C49C0">
        <w:rPr>
          <w:bCs/>
          <w:lang w:val="en-US"/>
        </w:rPr>
        <w:t xml:space="preserve"> 71:27-35.</w:t>
      </w:r>
    </w:p>
    <w:p w14:paraId="3F1A7DA9" w14:textId="77777777" w:rsidR="00175509" w:rsidRPr="003C49C0" w:rsidRDefault="00175509" w:rsidP="00175509">
      <w:pPr>
        <w:tabs>
          <w:tab w:val="left" w:pos="1701"/>
        </w:tabs>
        <w:ind w:left="1134" w:hanging="1134"/>
        <w:jc w:val="both"/>
        <w:rPr>
          <w:bCs/>
        </w:rPr>
      </w:pPr>
      <w:r w:rsidRPr="003C49C0">
        <w:rPr>
          <w:bCs/>
        </w:rPr>
        <w:tab/>
        <w:t>IF:</w:t>
      </w:r>
      <w:r w:rsidRPr="003C49C0">
        <w:rPr>
          <w:bCs/>
        </w:rPr>
        <w:tab/>
      </w:r>
      <w:r w:rsidRPr="003C49C0">
        <w:rPr>
          <w:bCs/>
        </w:rPr>
        <w:tab/>
        <w:t>6,335</w:t>
      </w:r>
    </w:p>
    <w:p w14:paraId="76538AB1" w14:textId="77777777" w:rsidR="00696F11" w:rsidRPr="003C49C0" w:rsidRDefault="00696F11" w:rsidP="00696F11">
      <w:pPr>
        <w:tabs>
          <w:tab w:val="left" w:pos="993"/>
        </w:tabs>
      </w:pPr>
    </w:p>
    <w:p w14:paraId="7DFCA162" w14:textId="77777777" w:rsidR="00175509" w:rsidRPr="003C49C0" w:rsidRDefault="00175509" w:rsidP="00175509">
      <w:pPr>
        <w:widowControl w:val="0"/>
        <w:tabs>
          <w:tab w:val="left" w:pos="993"/>
        </w:tabs>
        <w:autoSpaceDE w:val="0"/>
        <w:autoSpaceDN w:val="0"/>
        <w:adjustRightInd w:val="0"/>
        <w:ind w:left="993" w:hanging="993"/>
        <w:jc w:val="both"/>
        <w:rPr>
          <w:rFonts w:cs="Arial"/>
          <w:lang w:val="en-US" w:eastAsia="en-US"/>
        </w:rPr>
      </w:pPr>
      <w:r w:rsidRPr="003C49C0">
        <w:rPr>
          <w:rFonts w:cs="Arial"/>
          <w:color w:val="FF0000"/>
          <w:lang w:val="en-US" w:eastAsia="en-US"/>
        </w:rPr>
        <w:t>Pokorná MJ,</w:t>
      </w:r>
      <w:r w:rsidRPr="003C49C0">
        <w:rPr>
          <w:rFonts w:cs="Arial"/>
          <w:lang w:val="en-US" w:eastAsia="en-US"/>
        </w:rPr>
        <w:t xml:space="preserve"> Kratochvíl L. (2016): What was the ancestral sex-determining mechanism in amniote vertebrates? </w:t>
      </w:r>
      <w:r w:rsidRPr="003C49C0">
        <w:rPr>
          <w:rFonts w:cs="Arial"/>
          <w:b/>
          <w:lang w:val="en-US" w:eastAsia="en-US"/>
        </w:rPr>
        <w:t>Biol Rev Camb Philos Soc</w:t>
      </w:r>
      <w:r w:rsidRPr="003C49C0">
        <w:rPr>
          <w:rFonts w:cs="Arial"/>
          <w:lang w:val="en-US" w:eastAsia="en-US"/>
        </w:rPr>
        <w:t>. 91(1):1-12</w:t>
      </w:r>
    </w:p>
    <w:p w14:paraId="5FC81AD2" w14:textId="77777777" w:rsidR="00175509" w:rsidRPr="003C49C0" w:rsidRDefault="00175509" w:rsidP="00175509">
      <w:pPr>
        <w:widowControl w:val="0"/>
        <w:tabs>
          <w:tab w:val="left" w:pos="993"/>
        </w:tabs>
        <w:autoSpaceDE w:val="0"/>
        <w:autoSpaceDN w:val="0"/>
        <w:adjustRightInd w:val="0"/>
        <w:ind w:left="993" w:hanging="993"/>
        <w:jc w:val="both"/>
        <w:rPr>
          <w:rFonts w:cs="Arial"/>
          <w:lang w:eastAsia="en-US"/>
        </w:rPr>
      </w:pPr>
      <w:r w:rsidRPr="003C49C0">
        <w:rPr>
          <w:rFonts w:cs="Arial"/>
          <w:lang w:eastAsia="en-US"/>
        </w:rPr>
        <w:tab/>
        <w:t>IF:</w:t>
      </w:r>
      <w:r w:rsidRPr="003C49C0">
        <w:rPr>
          <w:rFonts w:cs="Arial"/>
          <w:lang w:eastAsia="en-US"/>
        </w:rPr>
        <w:tab/>
      </w:r>
      <w:r w:rsidRPr="003C49C0">
        <w:rPr>
          <w:rFonts w:cs="Arial"/>
          <w:lang w:eastAsia="en-US"/>
        </w:rPr>
        <w:tab/>
        <w:t>10,725 (12,028 5yr)</w:t>
      </w:r>
    </w:p>
    <w:p w14:paraId="1AB9CBA0" w14:textId="77777777" w:rsidR="00175509" w:rsidRPr="003C49C0" w:rsidRDefault="00175509" w:rsidP="00696F11">
      <w:pPr>
        <w:tabs>
          <w:tab w:val="left" w:pos="993"/>
        </w:tabs>
      </w:pPr>
    </w:p>
    <w:p w14:paraId="64C56ABA" w14:textId="77777777" w:rsidR="00B11F8C" w:rsidRPr="003C49C0" w:rsidRDefault="00B11F8C" w:rsidP="00B11F8C">
      <w:pPr>
        <w:widowControl w:val="0"/>
        <w:tabs>
          <w:tab w:val="left" w:pos="993"/>
        </w:tabs>
        <w:autoSpaceDE w:val="0"/>
        <w:autoSpaceDN w:val="0"/>
        <w:adjustRightInd w:val="0"/>
        <w:ind w:left="993" w:hanging="993"/>
        <w:jc w:val="both"/>
        <w:rPr>
          <w:rFonts w:cs="Arial"/>
          <w:lang w:val="en-US" w:eastAsia="en-US"/>
        </w:rPr>
      </w:pPr>
      <w:r w:rsidRPr="003C49C0">
        <w:rPr>
          <w:rFonts w:cs="Arial"/>
          <w:lang w:val="en-US" w:eastAsia="en-US"/>
        </w:rPr>
        <w:t xml:space="preserve">Rovatsos M, Vukić J, Altmanová M, </w:t>
      </w:r>
      <w:r w:rsidRPr="003C49C0">
        <w:rPr>
          <w:rFonts w:cs="Arial"/>
          <w:color w:val="FF0000"/>
          <w:lang w:val="en-US" w:eastAsia="en-US"/>
        </w:rPr>
        <w:t>Johnson Pokorná M</w:t>
      </w:r>
      <w:r w:rsidRPr="003C49C0">
        <w:rPr>
          <w:rFonts w:cs="Arial"/>
          <w:u w:val="dash"/>
          <w:lang w:val="en-US" w:eastAsia="en-US"/>
        </w:rPr>
        <w:t>,</w:t>
      </w:r>
      <w:r w:rsidRPr="003C49C0">
        <w:rPr>
          <w:rFonts w:cs="Arial"/>
          <w:lang w:val="en-US" w:eastAsia="en-US"/>
        </w:rPr>
        <w:t xml:space="preserve"> Moravec J, Kratochvíl L. (2016): Conservation of sex chromosomes in lacertid lizards. </w:t>
      </w:r>
      <w:r w:rsidRPr="003C49C0">
        <w:rPr>
          <w:rFonts w:cs="Arial"/>
          <w:b/>
          <w:lang w:val="en-US" w:eastAsia="en-US"/>
        </w:rPr>
        <w:t>Mol Ecol.,</w:t>
      </w:r>
      <w:r w:rsidRPr="003C49C0">
        <w:rPr>
          <w:rFonts w:cs="Arial"/>
          <w:lang w:val="en-US" w:eastAsia="en-US"/>
        </w:rPr>
        <w:t xml:space="preserve"> 25:3120-3126.</w:t>
      </w:r>
    </w:p>
    <w:p w14:paraId="049C44DB" w14:textId="77777777" w:rsidR="00B11F8C" w:rsidRPr="003C49C0" w:rsidRDefault="00B11F8C" w:rsidP="00B11F8C">
      <w:pPr>
        <w:tabs>
          <w:tab w:val="left" w:pos="993"/>
        </w:tabs>
      </w:pPr>
      <w:r w:rsidRPr="003C49C0">
        <w:tab/>
        <w:t>IF:</w:t>
      </w:r>
      <w:r w:rsidRPr="003C49C0">
        <w:tab/>
      </w:r>
      <w:r w:rsidRPr="003C49C0">
        <w:tab/>
        <w:t xml:space="preserve">5,947 </w:t>
      </w:r>
      <w:r w:rsidRPr="003C49C0">
        <w:rPr>
          <w:rFonts w:cs="Arial"/>
          <w:lang w:eastAsia="en-US"/>
        </w:rPr>
        <w:t>(6,232 5yr)</w:t>
      </w:r>
    </w:p>
    <w:p w14:paraId="7A0A2C85" w14:textId="77777777" w:rsidR="00175509" w:rsidRPr="003C49C0" w:rsidRDefault="00175509" w:rsidP="00696F11">
      <w:pPr>
        <w:tabs>
          <w:tab w:val="left" w:pos="993"/>
        </w:tabs>
      </w:pPr>
    </w:p>
    <w:p w14:paraId="735AD589" w14:textId="77777777" w:rsidR="00B11F8C" w:rsidRPr="003C49C0" w:rsidRDefault="00B11F8C" w:rsidP="00B11F8C">
      <w:pPr>
        <w:tabs>
          <w:tab w:val="left" w:pos="1701"/>
        </w:tabs>
        <w:ind w:left="1134" w:hanging="1134"/>
        <w:jc w:val="both"/>
        <w:rPr>
          <w:bCs/>
          <w:lang w:val="en-US"/>
        </w:rPr>
      </w:pPr>
      <w:r w:rsidRPr="003C49C0">
        <w:rPr>
          <w:bCs/>
          <w:lang w:val="en-US"/>
        </w:rPr>
        <w:t xml:space="preserve">Balboula AZ, Nguyen AL, Gentilello AS, Quartuccio SM, </w:t>
      </w:r>
      <w:r w:rsidRPr="003C49C0">
        <w:rPr>
          <w:bCs/>
          <w:color w:val="FF0000"/>
          <w:lang w:val="en-US"/>
        </w:rPr>
        <w:t>Drutovic D, Solc P,</w:t>
      </w:r>
      <w:r w:rsidRPr="003C49C0">
        <w:rPr>
          <w:bCs/>
          <w:lang w:val="en-US"/>
        </w:rPr>
        <w:t xml:space="preserve"> Schindler K. (2016): Haspin kinase regulates microtubule-organizing center clustering and stability through Aurora kinase C in mouse oocytes. </w:t>
      </w:r>
      <w:r w:rsidRPr="003C49C0">
        <w:rPr>
          <w:b/>
          <w:bCs/>
          <w:lang w:val="en-US"/>
        </w:rPr>
        <w:t>J Cell Sci.,</w:t>
      </w:r>
      <w:r w:rsidRPr="003C49C0">
        <w:rPr>
          <w:bCs/>
          <w:lang w:val="en-US"/>
        </w:rPr>
        <w:t>129:3648-3660.</w:t>
      </w:r>
    </w:p>
    <w:p w14:paraId="7EBEE645" w14:textId="77777777" w:rsidR="00B11F8C" w:rsidRPr="006E18F9" w:rsidRDefault="00B11F8C" w:rsidP="00B11F8C">
      <w:pPr>
        <w:tabs>
          <w:tab w:val="left" w:pos="1701"/>
        </w:tabs>
        <w:ind w:left="1134" w:hanging="1134"/>
        <w:jc w:val="both"/>
        <w:rPr>
          <w:rFonts w:eastAsia="ヒラギノ丸ゴ Pro W4"/>
          <w:lang w:eastAsia="en-US"/>
        </w:rPr>
      </w:pPr>
      <w:r w:rsidRPr="003C49C0">
        <w:rPr>
          <w:rFonts w:eastAsia="ヒラギノ丸ゴ Pro W4"/>
          <w:lang w:eastAsia="en-US"/>
        </w:rPr>
        <w:tab/>
        <w:t>IF:</w:t>
      </w:r>
      <w:r w:rsidRPr="003C49C0">
        <w:rPr>
          <w:rFonts w:eastAsia="ヒラギノ丸ゴ Pro W4"/>
          <w:lang w:eastAsia="en-US"/>
        </w:rPr>
        <w:tab/>
        <w:t>4,706</w:t>
      </w:r>
      <w:bookmarkStart w:id="0" w:name="_GoBack"/>
      <w:bookmarkEnd w:id="0"/>
    </w:p>
    <w:p w14:paraId="7C94EEDB" w14:textId="77777777" w:rsidR="00175509" w:rsidRDefault="00175509" w:rsidP="00696F11">
      <w:pPr>
        <w:tabs>
          <w:tab w:val="left" w:pos="993"/>
        </w:tabs>
      </w:pPr>
    </w:p>
    <w:sectPr w:rsidR="00175509" w:rsidSect="00343D2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ヒラギノ丸ゴ Pro W4">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11"/>
    <w:rsid w:val="00175509"/>
    <w:rsid w:val="001D1059"/>
    <w:rsid w:val="00201F5C"/>
    <w:rsid w:val="00244B9A"/>
    <w:rsid w:val="00343D26"/>
    <w:rsid w:val="003C49C0"/>
    <w:rsid w:val="003F21AD"/>
    <w:rsid w:val="004929BF"/>
    <w:rsid w:val="005D0BAC"/>
    <w:rsid w:val="00696F11"/>
    <w:rsid w:val="007426D4"/>
    <w:rsid w:val="0076488A"/>
    <w:rsid w:val="00B11F8C"/>
    <w:rsid w:val="00BB106E"/>
    <w:rsid w:val="00CA008A"/>
    <w:rsid w:val="00D96656"/>
    <w:rsid w:val="00E36F93"/>
    <w:rsid w:val="00E40A5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247991"/>
  <w15:docId w15:val="{31C02826-9317-4198-9D55-6547AD61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6F11"/>
    <w:pPr>
      <w:spacing w:after="0"/>
    </w:pPr>
    <w:rPr>
      <w:rFonts w:ascii="Times New Roman" w:eastAsia="Times New Roman" w:hAnsi="Times New Roman" w:cs="Times New Roman"/>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1007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Institute of Animal Physiology and Genetics, ASCR</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Kubelka</dc:creator>
  <cp:keywords/>
  <dc:description/>
  <cp:lastModifiedBy>Jana Zasmetova</cp:lastModifiedBy>
  <cp:revision>3</cp:revision>
  <dcterms:created xsi:type="dcterms:W3CDTF">2018-06-19T08:58:00Z</dcterms:created>
  <dcterms:modified xsi:type="dcterms:W3CDTF">2018-06-19T08:58:00Z</dcterms:modified>
</cp:coreProperties>
</file>