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16849" w14:textId="2B5ADE14" w:rsidR="00745CA5" w:rsidRPr="00745CA5" w:rsidRDefault="00745CA5" w:rsidP="005C0033">
      <w:pPr>
        <w:pStyle w:val="Heading1"/>
      </w:pPr>
      <w:bookmarkStart w:id="0" w:name="_GoBack"/>
      <w:bookmarkEnd w:id="0"/>
      <w:r w:rsidRPr="00745CA5">
        <w:t>Koncepční záměr a strategie výzkumné činnosti ÚŽFG</w:t>
      </w:r>
      <w:r w:rsidR="005C0033">
        <w:t xml:space="preserve"> na období 2018-2022</w:t>
      </w:r>
    </w:p>
    <w:p w14:paraId="47CA9D26" w14:textId="77777777" w:rsidR="00745CA5" w:rsidRPr="00745CA5" w:rsidRDefault="00745CA5" w:rsidP="00265453">
      <w:pPr>
        <w:pStyle w:val="Heading2"/>
      </w:pPr>
      <w:r w:rsidRPr="00745CA5">
        <w:t>Účel činnosti ÚŽFG</w:t>
      </w:r>
    </w:p>
    <w:p w14:paraId="42FB9279" w14:textId="77777777" w:rsidR="00745CA5" w:rsidRPr="00745CA5" w:rsidRDefault="00745CA5" w:rsidP="00265453">
      <w:r w:rsidRPr="00745CA5">
        <w:t>Koncepční záměr a strategie výzkumné činnosti ÚŽFG AV ČR, v. v. i., vychází z jeho zřizovací listiny. Dle článku III Zřizovací listiny je účelem zřízení Ústavu živočišné fyziologie a genetiky Akademie věd České republiky, v. v. i. uskutečňovat vědecký výzkum v oblastech fyziologie a genetiky živočichů, přispívat k využití jeho výsledků a zajišťovat infrastrukturu výzkumu. V rámci své hlavní činnosti ÚŽFG přispívá ke zvyšování úrovně poznání a vzdělanosti a k využití výsledků vědeckého výzkumu v praxi. Získává, zpracovává a rozšiřuje vědecké informace, vydává vědecké publikace (monografie, časopisy, sborníky apod.), poskytuje vědecké posudky, stanoviska a doporučení a provádí konzultační, poradenskou a expertní činnost. Ve spolupráci s vysokými školami uskutečňuje doktorské studijní programy a vychovává vědecké pracovníky. V rámci předmětu své činnosti rozvíjí mezinárodní spolupráci, včetně organizování společného výzkumu se zahraničními partnery, přijímání a vysílání stážistů, výměny vědeckých poznatků a přípravy společných publikací. Pořádá domácí i mezinárodní vědecká setkání, konference a semináře a zajišťuje infrastrukturu pro výzkum, včetně chovu experimentálních zvířat. Úkoly realizuje samostatně i ve spolupráci s vysokými školami a dalšími vědeckými, výzkumnými a odbornými institucemi.</w:t>
      </w:r>
    </w:p>
    <w:p w14:paraId="482EF35D" w14:textId="77777777" w:rsidR="00745CA5" w:rsidRPr="00745CA5" w:rsidRDefault="00745CA5" w:rsidP="00F147CC">
      <w:pPr>
        <w:pStyle w:val="Heading2"/>
      </w:pPr>
      <w:r w:rsidRPr="00745CA5">
        <w:t>Současné a budoucí zaměření výzkumné činnosti ÚŽFG</w:t>
      </w:r>
    </w:p>
    <w:p w14:paraId="4C3B1498" w14:textId="78F16672" w:rsidR="00745CA5" w:rsidRPr="00745CA5" w:rsidRDefault="00745CA5" w:rsidP="00265453">
      <w:r w:rsidRPr="00745CA5">
        <w:t xml:space="preserve">ÚŽFG se v současnosti skládá z 12 laboratoří, tj. organizačních celků pracoviště, jejichž vědecké zaměření lze rozdělit do třech základních okruhů, s přesahy zejména v oblasti praktické aplikace výsledků: </w:t>
      </w:r>
      <w:r w:rsidRPr="00745CA5">
        <w:rPr>
          <w:b/>
        </w:rPr>
        <w:t>i)</w:t>
      </w:r>
      <w:r w:rsidRPr="00745CA5">
        <w:t xml:space="preserve"> Výzkum biochemických a molekulárně biologických mechanismů uplatňujících se v reprodukční a vývojové biologii </w:t>
      </w:r>
      <w:proofErr w:type="spellStart"/>
      <w:r w:rsidRPr="00745CA5">
        <w:rPr>
          <w:b/>
        </w:rPr>
        <w:t>ii</w:t>
      </w:r>
      <w:proofErr w:type="spellEnd"/>
      <w:r w:rsidRPr="00745CA5">
        <w:rPr>
          <w:b/>
        </w:rPr>
        <w:t>)</w:t>
      </w:r>
      <w:r w:rsidRPr="00745CA5">
        <w:t xml:space="preserve"> Výzkum základních fyziologických a molekulárně genetických buněčných mechanismů, se zaměřením na jejich možnou biomedicínskou aplikaci </w:t>
      </w:r>
      <w:proofErr w:type="spellStart"/>
      <w:r w:rsidR="00C20034" w:rsidRPr="00C20034">
        <w:rPr>
          <w:b/>
        </w:rPr>
        <w:t>i</w:t>
      </w:r>
      <w:r w:rsidRPr="00745CA5">
        <w:rPr>
          <w:b/>
        </w:rPr>
        <w:t>ii</w:t>
      </w:r>
      <w:proofErr w:type="spellEnd"/>
      <w:r w:rsidRPr="00745CA5">
        <w:rPr>
          <w:b/>
        </w:rPr>
        <w:t>)</w:t>
      </w:r>
      <w:r w:rsidRPr="00745CA5">
        <w:t xml:space="preserve"> Výzkum mechanismů v oblasti evoluční biologie a genetiky, zejména u obratlovců a jejich důsledků pro biodiverzitu, vznik, vývoj a zánik druhů a stabilitu ekosystémů během změn klimatu.</w:t>
      </w:r>
    </w:p>
    <w:p w14:paraId="276EA6B5" w14:textId="77777777" w:rsidR="00745CA5" w:rsidRPr="00745CA5" w:rsidRDefault="00745CA5" w:rsidP="00265453">
      <w:pPr>
        <w:pStyle w:val="Heading3"/>
      </w:pPr>
      <w:r w:rsidRPr="00745CA5">
        <w:t>Okruh i)</w:t>
      </w:r>
    </w:p>
    <w:p w14:paraId="5AFE2978" w14:textId="77777777" w:rsidR="00745CA5" w:rsidRPr="00745CA5" w:rsidRDefault="00745CA5" w:rsidP="00265453">
      <w:pPr>
        <w:pStyle w:val="Heading4"/>
      </w:pPr>
      <w:r w:rsidRPr="00745CA5">
        <w:t>Laboratoř vývojové biologie</w:t>
      </w:r>
    </w:p>
    <w:p w14:paraId="6389D7E1" w14:textId="77777777" w:rsidR="00745CA5" w:rsidRPr="00745CA5" w:rsidRDefault="00745CA5" w:rsidP="00265453">
      <w:r w:rsidRPr="00745CA5">
        <w:t xml:space="preserve">Laboratoř se zaměřuje na stadium genové a proteinové exprese během meiotického zrání oocytů a raného embryonálního vývoje savců. Jako experimentální model využívá prasečí a kravské </w:t>
      </w:r>
      <w:proofErr w:type="spellStart"/>
      <w:r w:rsidRPr="00745CA5">
        <w:t>oocyty</w:t>
      </w:r>
      <w:proofErr w:type="spellEnd"/>
      <w:r w:rsidRPr="00745CA5">
        <w:t xml:space="preserve"> a embrya kultivovaná </w:t>
      </w:r>
      <w:r w:rsidRPr="00745CA5">
        <w:rPr>
          <w:i/>
        </w:rPr>
        <w:t>in vitro</w:t>
      </w:r>
      <w:r w:rsidRPr="00745CA5">
        <w:t xml:space="preserve">. Výzkumný záměr laboratoře je zaměřen primárně na tři oblasti: 1. Identifikace genů a signálních drah regulujících zrání oocytu a jeho vývojovou kompetenci. 2. Mechanismus embryonální genomové aktivace během preimplantačního vývoje embrya. 3. Molekulární studium role jadérka oocytu v regulaci časného embryonálního vývoje. Studie na prasečích a myších oocytech ukazují, že jadérko je nezbytné pro dokončení meiózy oocytu a další embryonální vývoj. V laboratoři jsou pomocí genomických a proteomických metod jadérka </w:t>
      </w:r>
      <w:r w:rsidRPr="00745CA5">
        <w:lastRenderedPageBreak/>
        <w:t>prasečích oocytů a embryí využívána jako model pro studium složení a vlivu této buněčné struktury na vývojovou kompetenci.</w:t>
      </w:r>
    </w:p>
    <w:p w14:paraId="3A2BB32C" w14:textId="77777777" w:rsidR="00745CA5" w:rsidRPr="00745CA5" w:rsidRDefault="00745CA5" w:rsidP="00F147CC">
      <w:pPr>
        <w:pStyle w:val="Heading4"/>
      </w:pPr>
      <w:r w:rsidRPr="00745CA5">
        <w:t>Laboratoř biochemie a molekulární biologie zárodečných buněk</w:t>
      </w:r>
    </w:p>
    <w:p w14:paraId="3985700F" w14:textId="77777777" w:rsidR="00745CA5" w:rsidRPr="00745CA5" w:rsidRDefault="00745CA5" w:rsidP="00265453">
      <w:r w:rsidRPr="00745CA5">
        <w:t>Laboratoř se zaměřuje na molekulární mechanismy, které regulují fyziologii a patologii oocytů a embryí savců. Samičí/ženská meióza produkuje velkou buňku (vajíčko), připravenou k oplození a podpoře embryonálního vývoje. Jeden z hlavních problémů, které se během meiózy objevují je vysoký výskyt chyb v rozchodu chromozomů. Tyto chromozomové poruchy jsou častější v oocytech a jejich výskyt se dále zvyšuje s věkem matky. Aneuploidie oocytů má závažné důsledky, včetně ztráty těhotenství a vrozených vad. Zmíněnou problematiku řeší laboratoř ve dvou hlavních oblastech výzkumu: 1. Lokalizace translace mRNA ve vajíčku. 2. Řízení aktivity proteinů vázajících RNA při meióze.</w:t>
      </w:r>
      <w:r w:rsidRPr="00745CA5">
        <w:rPr>
          <w:b/>
        </w:rPr>
        <w:t xml:space="preserve"> </w:t>
      </w:r>
      <w:r w:rsidRPr="00745CA5">
        <w:t>Porozumění všem těmto dějům na úrovni molekul může přinést nové možnosti v léčbě poruch reprodukce.</w:t>
      </w:r>
    </w:p>
    <w:p w14:paraId="4F28B774" w14:textId="77777777" w:rsidR="00745CA5" w:rsidRPr="00745CA5" w:rsidRDefault="00745CA5" w:rsidP="00265453">
      <w:pPr>
        <w:pStyle w:val="Heading4"/>
      </w:pPr>
      <w:r w:rsidRPr="00745CA5">
        <w:t>Laboratoř kontroly buněčného dělení</w:t>
      </w:r>
    </w:p>
    <w:p w14:paraId="6812CC55" w14:textId="77777777" w:rsidR="00745CA5" w:rsidRPr="00745CA5" w:rsidRDefault="00745CA5" w:rsidP="00265453">
      <w:r w:rsidRPr="00745CA5">
        <w:t xml:space="preserve">Výzkum laboratoře je zaměřen na: 1. Objasnění mechanismů kontroly buněčného cyklu, které řídí segregaci chromosomů v savčím oocytu a časném embryu. 2. Pochopení vlivu věku matky na segregaci chromosomů a zvýšený výskyt aneuploidie v oocytech. 3. Mechanismy odpovědné za regulaci velikosti buněk a buněčných organel a jak jsou tyto mechanismy spojeny s architekturou tkání a orgánů. Jako modelový systém jsou využívány savčí </w:t>
      </w:r>
      <w:proofErr w:type="spellStart"/>
      <w:r w:rsidRPr="00745CA5">
        <w:t>oocyty</w:t>
      </w:r>
      <w:proofErr w:type="spellEnd"/>
      <w:r w:rsidRPr="00745CA5">
        <w:t xml:space="preserve"> a embrya a také tkáňové kultury somatických buněk. Výsledky laboratoře mají význam pro pochopení kontrolních mechanismů segregace chromosomů a patologické důsledky jejich poruch, jako je například Downův syndrom.</w:t>
      </w:r>
    </w:p>
    <w:p w14:paraId="3435C800" w14:textId="77777777" w:rsidR="00745CA5" w:rsidRPr="00745CA5" w:rsidRDefault="00745CA5" w:rsidP="00265453">
      <w:pPr>
        <w:pStyle w:val="Heading4"/>
      </w:pPr>
      <w:r w:rsidRPr="00745CA5">
        <w:t>Laboratoř integrity DNA</w:t>
      </w:r>
    </w:p>
    <w:p w14:paraId="0E4669CA" w14:textId="77777777" w:rsidR="00745CA5" w:rsidRPr="00745CA5" w:rsidRDefault="00745CA5" w:rsidP="00265453">
      <w:r w:rsidRPr="00745CA5">
        <w:t>Život všech organizmů klade důraz na integritu informace v DNA. Buňky disponují velmi sofistikovanými mechanizmy, které rozpoznávají poškození DNA a indukují její opravu. Cílem laboratoře   je pochopení toho, jak poškození DNA a integrity chromozomů přispívá k rozvoji neonkologických chorob, jako je například neplodnost a neurodegenerativní poruchy. 1. V savčích oocytech a časných embryích se laboratoř zaměřuje na mechanismus segregace chromozomů a odpověď na poškození DNA ve formě dvouřetězcového DNA zlomu. 2. Dalším předmětem zájmu je oprava poškození DNA u dědičné neurodegenerace, Huntingtonovy nemoci (HD). Zatímco souvislost poškození DNA se zhoubným bujením je známá a podrobně popsaná, mnohá neurologická onemocnění jsou také spojena s poškozením DNA a poruchami opravných mechanismů, a mechanismus jejich vlivu na rozvoj onemocnění není přesně objasněn. Například u HD je pozorován snížený výskyt nádorových onemocnění, přes pozorované DNA poškození. Studium buněčné odpovědi na poškození DNA za přítomnosti mutovaného huntingtinu by mohlo objasnit tento fenomén a přispět k identifikaci nových diagnostických a terapeutických postupů.</w:t>
      </w:r>
    </w:p>
    <w:p w14:paraId="3E55304B" w14:textId="77777777" w:rsidR="00745CA5" w:rsidRPr="00745CA5" w:rsidRDefault="00745CA5" w:rsidP="00265453">
      <w:pPr>
        <w:pStyle w:val="Heading3"/>
      </w:pPr>
      <w:r w:rsidRPr="00745CA5">
        <w:t xml:space="preserve">Okruh </w:t>
      </w:r>
      <w:proofErr w:type="spellStart"/>
      <w:r w:rsidRPr="00745CA5">
        <w:t>ii</w:t>
      </w:r>
      <w:proofErr w:type="spellEnd"/>
      <w:r w:rsidRPr="00745CA5">
        <w:t>)</w:t>
      </w:r>
    </w:p>
    <w:p w14:paraId="652A72C7" w14:textId="77777777" w:rsidR="00745CA5" w:rsidRPr="00745CA5" w:rsidRDefault="00745CA5" w:rsidP="00265453">
      <w:pPr>
        <w:pStyle w:val="Heading4"/>
      </w:pPr>
      <w:r w:rsidRPr="00745CA5">
        <w:t>Laboratoř buněčné regenerace a plasticity</w:t>
      </w:r>
    </w:p>
    <w:p w14:paraId="28822BB7" w14:textId="77777777" w:rsidR="00745CA5" w:rsidRPr="00745CA5" w:rsidRDefault="00745CA5" w:rsidP="00265453">
      <w:r w:rsidRPr="00745CA5">
        <w:t xml:space="preserve">Hlavním zaměřením laboratoře je biomedicínský výzkum s využitím miniprasete jako velkého zvířecího modelu, včetně vývoje nových transgenních modelů chorob. Výhodou miniprasete je jeho fyziologická a anatomická podobnost člověku, relativně nízké náklady chovu a minimální etické problémy. V současnosti laboratoř studuje zejména dědičnou neurodegeneraci – Huntingtonovu nemoc (HD), míšní poškození, věkem podmíněnou </w:t>
      </w:r>
      <w:proofErr w:type="spellStart"/>
      <w:r w:rsidRPr="00745CA5">
        <w:t>makulární</w:t>
      </w:r>
      <w:proofErr w:type="spellEnd"/>
      <w:r w:rsidRPr="00745CA5">
        <w:t xml:space="preserve"> degeneraci (AMD) a nemoci trávicího ústrojí. Transgenní model HD nese kopii mutovaného lidského huntingtinu a umožňuje tak přímé </w:t>
      </w:r>
      <w:r w:rsidRPr="00745CA5">
        <w:lastRenderedPageBreak/>
        <w:t xml:space="preserve">testování bezpečnosti genových terapiích určených lidem na zvířecím modelu. To vedlo např. ke spolupráci firmou uniQure Inc. (Nizozemí). Model míšního poškození vyvinutý ve spolupráci s UCSD San Diego zase slouží k testování buněčných terapií ve spolupráci s firmou </w:t>
      </w:r>
      <w:proofErr w:type="spellStart"/>
      <w:r w:rsidRPr="00745CA5">
        <w:t>Neuralstem</w:t>
      </w:r>
      <w:proofErr w:type="spellEnd"/>
      <w:r w:rsidRPr="00745CA5">
        <w:t xml:space="preserve"> Inc. (USA). Podobnost trávicího traktu miniprasete lidskému umožňuje vývoj nových prasečích modelů lidských nemocí zažívací soustavy (stenózy jícnu, stenózy a dehiscence střevních anastomóz) a jejich terapie pomocí moderních chirurgických přístupů (laparoskopie, endoskopie, </w:t>
      </w:r>
      <w:proofErr w:type="spellStart"/>
      <w:r w:rsidRPr="00745CA5">
        <w:t>miniinvazivní</w:t>
      </w:r>
      <w:proofErr w:type="spellEnd"/>
      <w:r w:rsidRPr="00745CA5">
        <w:t xml:space="preserve"> chirurgie).</w:t>
      </w:r>
    </w:p>
    <w:p w14:paraId="24D3C2C8" w14:textId="77777777" w:rsidR="00745CA5" w:rsidRPr="00745CA5" w:rsidRDefault="00745CA5" w:rsidP="00265453">
      <w:pPr>
        <w:pStyle w:val="Heading4"/>
      </w:pPr>
      <w:r w:rsidRPr="00745CA5">
        <w:t>Laboratoř aplikovaných proteomových analýz</w:t>
      </w:r>
    </w:p>
    <w:p w14:paraId="6AE42814" w14:textId="77777777" w:rsidR="00745CA5" w:rsidRPr="00745CA5" w:rsidRDefault="00745CA5" w:rsidP="00265453">
      <w:r w:rsidRPr="00745CA5">
        <w:t xml:space="preserve">Laboratoř využívá systémově biologický přístup zaměřený zejména na proteomické techniky ke studiu biologických procesů spojených s nemocemi a stárnutím. V současnosti se zaměřuje zejména na dvě oblasti: 1. Neurobiologii, kde studuje s využitím zvířecích a </w:t>
      </w:r>
      <w:r w:rsidRPr="00745CA5">
        <w:rPr>
          <w:i/>
        </w:rPr>
        <w:t>in vitro</w:t>
      </w:r>
      <w:r w:rsidRPr="00745CA5">
        <w:t xml:space="preserve"> buněčných modelů Huntingtonovy nemoci patogenní procesy během neurodegenerace a dále procesy řídící diferenciaci nervových kmenových buněk (NSC). 2. Nádorovou biologii, kde studuje mezibuněčnou komunikaci mezi buňkami nádoru a nádorovým stromatem a nádorovou imunologii, s využitím miniprasečího modelu maligního melanomu (</w:t>
      </w:r>
      <w:proofErr w:type="spellStart"/>
      <w:r w:rsidRPr="00745CA5">
        <w:t>Melanoma-bearing</w:t>
      </w:r>
      <w:proofErr w:type="spellEnd"/>
      <w:r w:rsidRPr="00745CA5">
        <w:t xml:space="preserve"> Libechov Minipig, MeLiM). Cílem tohoto výzkumu je pochopení patologických mechanismů, nalezení nových diagnostických biomarkerů onemocnění a identifikace možných terapeutických cílů.</w:t>
      </w:r>
    </w:p>
    <w:p w14:paraId="4DE274A9" w14:textId="77777777" w:rsidR="00745CA5" w:rsidRPr="00745CA5" w:rsidRDefault="00745CA5" w:rsidP="00265453">
      <w:pPr>
        <w:pStyle w:val="Heading4"/>
      </w:pPr>
      <w:r w:rsidRPr="00745CA5">
        <w:t>Laboratoř molekulární morfogeneze</w:t>
      </w:r>
    </w:p>
    <w:p w14:paraId="03A258BB" w14:textId="77777777" w:rsidR="00745CA5" w:rsidRPr="00745CA5" w:rsidRDefault="00745CA5" w:rsidP="00265453">
      <w:r w:rsidRPr="00745CA5">
        <w:t>Znalost vývojových procesů je klíčová pro objasnění původu a diversifikace liniově specifických struktur během evoluce savců, ale i pro pochopení vzniku vývojových abnormalit. Laboratoř se zaměřuje na základní morfogenetické procesy během organogeneze, zejména na formování obličeje a končetin. Studuje nové molekuly a unikátní role známých molekul během proliferace, adheze, migrace a diferenciace buněk. Zvláštní zájem je věnován vývoji tvrdých tkání, včetně zubů (odontogeneze) a kostí (osteogeneze). Spolu s rostoucí dlouhověkostí lidské populace se i výskyt problémů spojených s poruchami tvrdých tkání, jako je například osteoporóza a ztráta zubů, stává vážným medicínským a vědeckým problémem. Laboratoř používá in vivo, ex vivo a in vitro přístupy na experimentálních modelech: myší, prasat, slepic a embryí chameleonů k objasnění základních vývojových mechanismů. Cílem je přispět k recentnímu poznání v základním a biomedicínském výzkumu, s praktickými aplikacemi v tkáňových náhradách a regenerativní medicíně.</w:t>
      </w:r>
    </w:p>
    <w:p w14:paraId="0632AF8A" w14:textId="77777777" w:rsidR="00745CA5" w:rsidRPr="00745CA5" w:rsidRDefault="00745CA5" w:rsidP="00265453">
      <w:pPr>
        <w:pStyle w:val="Heading4"/>
      </w:pPr>
      <w:r w:rsidRPr="00745CA5">
        <w:t>Laboratoř neurobiologie a patologické fyziologie</w:t>
      </w:r>
    </w:p>
    <w:p w14:paraId="6184FE0C" w14:textId="77777777" w:rsidR="00745CA5" w:rsidRPr="00745CA5" w:rsidRDefault="00745CA5" w:rsidP="00265453">
      <w:r w:rsidRPr="00745CA5">
        <w:t xml:space="preserve">Laboratoř neurobiologie a patologické fyziologie se zabývá výzkumem molekulárních základů rozvoje široké škály nemocí a selektovaných znaků. 1. Přispívá k výzkumu psychiatrických onemocnění a multifunkčních poruch, jako je schizofrenie, Alzheimerova nemoc, mírná kognitivní porucha, závislost na alkoholu, ADHD a věkem podmíněná </w:t>
      </w:r>
      <w:proofErr w:type="spellStart"/>
      <w:r w:rsidRPr="00745CA5">
        <w:t>makulární</w:t>
      </w:r>
      <w:proofErr w:type="spellEnd"/>
      <w:r w:rsidRPr="00745CA5">
        <w:t xml:space="preserve"> degenerace, zejména s využitím genově asociačních studií a pomocí identifikace genů, které zvyšují náchylnost k těmto chorobám. Identifikované varianty pak mohou poskytnout informace o možných léčebných a preventivních postupech. 2. Laboratoř dále studuje vnímání chuti mastných kyselin a jeho vztah k rozvoji obezity a agenezi zubů podmíněné poruchami příslušných vývojově důležitých genů. 3. Zkoumá toxický vlivu nanočástic v prostředí. 4. Zabývá se výzkumem a diagnostikou </w:t>
      </w:r>
      <w:proofErr w:type="spellStart"/>
      <w:r w:rsidRPr="00745CA5">
        <w:t>Lymské</w:t>
      </w:r>
      <w:proofErr w:type="spellEnd"/>
      <w:r w:rsidRPr="00745CA5">
        <w:t xml:space="preserve"> boreliózy. Protože se laboratoř věnuje širokým mezioborovým tématům, spolupracuje s řadou dalších výzkumných i klinických institucí.</w:t>
      </w:r>
    </w:p>
    <w:p w14:paraId="4613060C" w14:textId="77777777" w:rsidR="00745CA5" w:rsidRPr="00745CA5" w:rsidRDefault="00745CA5" w:rsidP="00265453">
      <w:pPr>
        <w:pStyle w:val="Heading4"/>
      </w:pPr>
      <w:r w:rsidRPr="00745CA5">
        <w:lastRenderedPageBreak/>
        <w:t>Laboratoř anaerobní mikrobiologie</w:t>
      </w:r>
    </w:p>
    <w:p w14:paraId="62DBE594" w14:textId="77777777" w:rsidR="00745CA5" w:rsidRPr="00745CA5" w:rsidRDefault="00745CA5" w:rsidP="00265453">
      <w:r w:rsidRPr="00745CA5">
        <w:t xml:space="preserve">Laboratoř studuje již přes 40 let anaerobní mikroorganismy v zažívacím traktu člověka a hospodářských zvířat. Střevní mikrobiom hraje nenahraditelnou úlohu při zpracování živin a produkci metabolitů prospěšných pro hostitele, stimuluje imunitní systém a brání rozmnožení patogenů. V současnosti je střevní mikrobiom považován za samostatný orgán, s individuálním vývojem a evolucí. Hraje také roli v mnoha civilizačních chorobách, např. obesitě, diabetu, </w:t>
      </w:r>
      <w:proofErr w:type="spellStart"/>
      <w:r w:rsidRPr="00745CA5">
        <w:t>ulcerativní</w:t>
      </w:r>
      <w:proofErr w:type="spellEnd"/>
      <w:r w:rsidRPr="00745CA5">
        <w:t xml:space="preserve"> kolitidě, Crohnově nemoci a rakovině trávicího traktu. Zdá se také, že přispívá i k chorobám, které nejsou přímo spojeny s trávicím traktem, jako např. autismus, Alzheimerova nemoc (tzv. střevně-mozková osa). Laboratoř používá dva přístupy ke studiu mikrobiálních ekosystémů: klasický mikrobiologický, s izolací, kultivací a popisem nových mikroorganismů a molekulární, kdy je mikrobiální diverzita studována v celkovém vzorku, bez potřeby izolace a kultivace.</w:t>
      </w:r>
    </w:p>
    <w:p w14:paraId="00F4C68E" w14:textId="77777777" w:rsidR="00745CA5" w:rsidRPr="00745CA5" w:rsidRDefault="00745CA5" w:rsidP="00265453">
      <w:pPr>
        <w:pStyle w:val="Heading3"/>
      </w:pPr>
      <w:r w:rsidRPr="00745CA5">
        <w:t xml:space="preserve">Okruh </w:t>
      </w:r>
      <w:proofErr w:type="spellStart"/>
      <w:r w:rsidRPr="00745CA5">
        <w:t>iii</w:t>
      </w:r>
      <w:proofErr w:type="spellEnd"/>
      <w:r w:rsidRPr="00745CA5">
        <w:t>)</w:t>
      </w:r>
    </w:p>
    <w:p w14:paraId="4971E7A3" w14:textId="77777777" w:rsidR="00745CA5" w:rsidRPr="00745CA5" w:rsidRDefault="00745CA5" w:rsidP="00265453">
      <w:pPr>
        <w:pStyle w:val="Heading4"/>
      </w:pPr>
      <w:r w:rsidRPr="00745CA5">
        <w:t>Laboratoř genetiky ryb</w:t>
      </w:r>
    </w:p>
    <w:p w14:paraId="31D03EF2" w14:textId="77777777" w:rsidR="00745CA5" w:rsidRPr="00745CA5" w:rsidRDefault="00745CA5" w:rsidP="00265453">
      <w:r w:rsidRPr="00745CA5">
        <w:t xml:space="preserve">Činnost laboratoře je zaměřena zejména na tyto okruhy: 1. Studium klonálního rozmnožování a polyploidie v evoluční biologii ryb, případně dalších nižších obratlovců. Laboratoř se zabývá detailním popisem takového modelu k obecnému porozumění, jak klonální obratlovci vznikají, jak je udržována dynamika a soužití klonálních a sexuálních jedinců a jakou hrají evoluční roli v přírodních populacích. Laboratoř používá modelovou skupinu ryb rodu </w:t>
      </w:r>
      <w:proofErr w:type="spellStart"/>
      <w:r w:rsidRPr="00745CA5">
        <w:rPr>
          <w:i/>
          <w:iCs/>
        </w:rPr>
        <w:t>Cobitis</w:t>
      </w:r>
      <w:proofErr w:type="spellEnd"/>
      <w:r w:rsidRPr="00745CA5">
        <w:t>, analyzuje poznatky o druhové a hybridní rozmanitosti, jejich způsobu rozmnožování, (</w:t>
      </w:r>
      <w:proofErr w:type="spellStart"/>
      <w:r w:rsidRPr="00745CA5">
        <w:t>sperm</w:t>
      </w:r>
      <w:proofErr w:type="spellEnd"/>
      <w:r w:rsidRPr="00745CA5">
        <w:t>-dependentní pohlavní parasitizmus), používá experimentálního modelování tohoto rozmnožování v chovech, dále se zabývá molekulární fylogeografií a fylogenií těchto forem s recipročním a polyfyletickým původem, včetně schopnosti měnit hostitelský druh, na kterém parazitují. 2. Dále se laboratoř zabývá významnou rolí mezidruhových hybridizací a polyploidizací v evoluci několika linií těchto ryb. Podařilo se experimentálně vytvořit klonální a polyploidní ryby prostým křížením, bez buněčné manipulace, prokázat klonální rozmnožování a vysvětlit vznik polyploidie jakou kauzální následek mezidruhového křížení a vyřazení konzervativního mechanismu meiózy. Jedná se o první takový úspěšný experiment mezidruhovou hybridizací, po dlouhých 80 letech od popisu prvního klonálního obratlovce na světě.</w:t>
      </w:r>
    </w:p>
    <w:p w14:paraId="1D0B89FB" w14:textId="77777777" w:rsidR="00745CA5" w:rsidRPr="00745CA5" w:rsidRDefault="00745CA5" w:rsidP="00265453">
      <w:r w:rsidRPr="00745CA5">
        <w:t>3. Další významnou aktivitou laboratoře je ve spolupráci s kolegy z Fakulty rybářství a ochrany vod Jihočeské university studium hybridní a ploidní diverzity jeseterů pomocí genetických metod, kde byla zrekonstruována ploidní řada jedinců jeseterů od úrovně 120 po 520 chromozómů a v této souvislosti se začala intenzivně zabývat průzkumem genomů archaických forem ryb (kostlínů, dvojdyšných).</w:t>
      </w:r>
    </w:p>
    <w:p w14:paraId="5EB92146" w14:textId="77777777" w:rsidR="00745CA5" w:rsidRPr="00745CA5" w:rsidRDefault="00745CA5" w:rsidP="00265453">
      <w:r w:rsidRPr="00745CA5">
        <w:t xml:space="preserve">4. Nově se laboratoř zaměřuje na problematiku transpozonů v genomech ryb a jejich úloze při </w:t>
      </w:r>
      <w:proofErr w:type="spellStart"/>
      <w:r w:rsidRPr="00745CA5">
        <w:t>speciačních</w:t>
      </w:r>
      <w:proofErr w:type="spellEnd"/>
      <w:r w:rsidRPr="00745CA5">
        <w:t xml:space="preserve"> událostech (sekavci, lososovití). Laboratoř je intenzivně zapojena do Programu národních genových zdrojů (kapr, lín, síhové, pstruzi, jeseteři) a NATURA 2000 (sekavci, hrouzci, vranky) analýzou genetických parametrů linií a populací, pro kterou má Laboratoř akreditaci </w:t>
      </w:r>
      <w:proofErr w:type="spellStart"/>
      <w:r w:rsidRPr="00745CA5">
        <w:t>MZe</w:t>
      </w:r>
      <w:proofErr w:type="spellEnd"/>
      <w:r w:rsidRPr="00745CA5">
        <w:t>.</w:t>
      </w:r>
    </w:p>
    <w:p w14:paraId="7F3E5204" w14:textId="77777777" w:rsidR="00745CA5" w:rsidRPr="00745CA5" w:rsidRDefault="00745CA5" w:rsidP="00265453">
      <w:pPr>
        <w:pStyle w:val="Heading4"/>
      </w:pPr>
      <w:r w:rsidRPr="00745CA5">
        <w:t>Laboratoř evoluční genetiky savců</w:t>
      </w:r>
    </w:p>
    <w:p w14:paraId="14DD709F" w14:textId="77777777" w:rsidR="00745CA5" w:rsidRPr="00745CA5" w:rsidRDefault="00745CA5" w:rsidP="00265453">
      <w:r w:rsidRPr="00745CA5">
        <w:t xml:space="preserve">Výzkumné aktivity laboratoře se zaměřují na genetickou a fenotypovou variabilitu a evoluci savců. Pozornost je věnována jak volně žijícím, tak i modelovým druhům. V prvním případě jde o popis genetické a morfologické proměnlivosti a systematických vztahů drobných savců Palearktické a </w:t>
      </w:r>
      <w:proofErr w:type="spellStart"/>
      <w:r w:rsidRPr="00745CA5">
        <w:t>Afrotropické</w:t>
      </w:r>
      <w:proofErr w:type="spellEnd"/>
      <w:r w:rsidRPr="00745CA5">
        <w:t xml:space="preserve"> zoogeografické oblasti, zatímco ve druhém je využívána myš domácí (</w:t>
      </w:r>
      <w:proofErr w:type="spellStart"/>
      <w:r w:rsidRPr="00745CA5">
        <w:rPr>
          <w:i/>
        </w:rPr>
        <w:t>Mus</w:t>
      </w:r>
      <w:proofErr w:type="spellEnd"/>
      <w:r w:rsidRPr="00745CA5">
        <w:rPr>
          <w:i/>
        </w:rPr>
        <w:t xml:space="preserve"> </w:t>
      </w:r>
      <w:proofErr w:type="spellStart"/>
      <w:r w:rsidRPr="00745CA5">
        <w:rPr>
          <w:i/>
        </w:rPr>
        <w:t>musculus</w:t>
      </w:r>
      <w:proofErr w:type="spellEnd"/>
      <w:r w:rsidRPr="00745CA5">
        <w:t xml:space="preserve">) </w:t>
      </w:r>
      <w:r w:rsidRPr="00745CA5">
        <w:lastRenderedPageBreak/>
        <w:t>jakožto evoluční model, především její poddruhy M</w:t>
      </w:r>
      <w:r w:rsidRPr="00745CA5">
        <w:rPr>
          <w:i/>
        </w:rPr>
        <w:t xml:space="preserve">. m. </w:t>
      </w:r>
      <w:proofErr w:type="spellStart"/>
      <w:r w:rsidRPr="00745CA5">
        <w:rPr>
          <w:i/>
        </w:rPr>
        <w:t>musculus</w:t>
      </w:r>
      <w:proofErr w:type="spellEnd"/>
      <w:r w:rsidRPr="00745CA5">
        <w:t xml:space="preserve"> a </w:t>
      </w:r>
      <w:r w:rsidRPr="00745CA5">
        <w:rPr>
          <w:i/>
        </w:rPr>
        <w:t xml:space="preserve">M. m. </w:t>
      </w:r>
      <w:proofErr w:type="spellStart"/>
      <w:r w:rsidRPr="00745CA5">
        <w:rPr>
          <w:i/>
        </w:rPr>
        <w:t>domesticus</w:t>
      </w:r>
      <w:proofErr w:type="spellEnd"/>
      <w:r w:rsidRPr="00745CA5">
        <w:t xml:space="preserve">, které v Evropě vytvářejí úzkou hybridní zónu. Cílem je objasnit mechanismy podílející se na vzniku </w:t>
      </w:r>
      <w:proofErr w:type="spellStart"/>
      <w:r w:rsidRPr="00745CA5">
        <w:t>prezygotických</w:t>
      </w:r>
      <w:proofErr w:type="spellEnd"/>
      <w:r w:rsidRPr="00745CA5">
        <w:t xml:space="preserve"> i </w:t>
      </w:r>
      <w:proofErr w:type="spellStart"/>
      <w:r w:rsidRPr="00745CA5">
        <w:t>postzygotických</w:t>
      </w:r>
      <w:proofErr w:type="spellEnd"/>
      <w:r w:rsidRPr="00745CA5">
        <w:t xml:space="preserve"> reprodukčních bariér (včetně tzv. „</w:t>
      </w:r>
      <w:proofErr w:type="spellStart"/>
      <w:r w:rsidRPr="00745CA5">
        <w:t>speciačních</w:t>
      </w:r>
      <w:proofErr w:type="spellEnd"/>
      <w:r w:rsidRPr="00745CA5">
        <w:t xml:space="preserve"> genů“) a lokalizovat části genomu, které tyto bariéry naopak prolamují (tzv. „</w:t>
      </w:r>
      <w:proofErr w:type="spellStart"/>
      <w:r w:rsidRPr="00745CA5">
        <w:t>antispeciační</w:t>
      </w:r>
      <w:proofErr w:type="spellEnd"/>
      <w:r w:rsidRPr="00745CA5">
        <w:t xml:space="preserve"> geny“). K tomuto účelu jsou studovány jak ekologické, etologické a fyziologické rozdíly mezi oběma poddruhy (preference sexuálního partnera, agresivita, zvládání stresových situací, explorace a disperze, produkce a profily androgen vázajících proteinů, hlavních močových proteinů, steroidních hormonů atd.), tak procesy utvářející charakter hybridní zóny. Dynamika této zóny je studována v rozsáhlé oblasti od Baltského moře po Alpy s cílem odlišit náhodné procesy (kolonizační historie, lidská činnost, lokální geografické bariéry, náhodný genetický posun) od deterministických (přírodní výběr), a to pomocí velkého množství molekulárních markerů (SNP, </w:t>
      </w:r>
      <w:proofErr w:type="spellStart"/>
      <w:r w:rsidRPr="00745CA5">
        <w:t>alozymy</w:t>
      </w:r>
      <w:proofErr w:type="spellEnd"/>
      <w:r w:rsidRPr="00745CA5">
        <w:t xml:space="preserve">, </w:t>
      </w:r>
      <w:proofErr w:type="spellStart"/>
      <w:r w:rsidRPr="00745CA5">
        <w:t>mikrosatelity</w:t>
      </w:r>
      <w:proofErr w:type="spellEnd"/>
      <w:r w:rsidRPr="00745CA5">
        <w:t xml:space="preserve">, sekvence) a specifických analýz (exprese genů, proměnlivost počtu genových kopií). Vzhledem ke způsobu utváření hybridní zóny se snažíme tyto údaje doplnit i o </w:t>
      </w:r>
      <w:proofErr w:type="spellStart"/>
      <w:r w:rsidRPr="00745CA5">
        <w:t>fylogeografické</w:t>
      </w:r>
      <w:proofErr w:type="spellEnd"/>
      <w:r w:rsidRPr="00745CA5">
        <w:t xml:space="preserve"> mapování západního </w:t>
      </w:r>
      <w:proofErr w:type="spellStart"/>
      <w:r w:rsidRPr="00745CA5">
        <w:t>Palearktu</w:t>
      </w:r>
      <w:proofErr w:type="spellEnd"/>
      <w:r w:rsidRPr="00745CA5">
        <w:t xml:space="preserve"> s cílem odhalit podíl jednotlivých </w:t>
      </w:r>
      <w:proofErr w:type="spellStart"/>
      <w:r w:rsidRPr="00745CA5">
        <w:t>haploskupin</w:t>
      </w:r>
      <w:proofErr w:type="spellEnd"/>
      <w:r w:rsidRPr="00745CA5">
        <w:t xml:space="preserve"> na jejím vzniku.</w:t>
      </w:r>
    </w:p>
    <w:p w14:paraId="0E363F55" w14:textId="77777777" w:rsidR="00745CA5" w:rsidRPr="00745CA5" w:rsidRDefault="00745CA5" w:rsidP="00265453">
      <w:pPr>
        <w:pStyle w:val="Heading4"/>
      </w:pPr>
      <w:r w:rsidRPr="00745CA5">
        <w:t>Laboratoř molekulární ekologie</w:t>
      </w:r>
    </w:p>
    <w:p w14:paraId="522862DD" w14:textId="77777777" w:rsidR="00745CA5" w:rsidRPr="00745CA5" w:rsidRDefault="00745CA5" w:rsidP="00265453">
      <w:r w:rsidRPr="00745CA5">
        <w:t xml:space="preserve">Hlavním předmětem výzkumu laboratoře je odpověď živočichů na změny klimatu (primárně v období od poslední doby ledové) pomocí metod </w:t>
      </w:r>
      <w:proofErr w:type="gramStart"/>
      <w:r w:rsidRPr="00745CA5">
        <w:t>NGS  a</w:t>
      </w:r>
      <w:proofErr w:type="gramEnd"/>
      <w:r w:rsidRPr="00745CA5">
        <w:t xml:space="preserve"> dalších molekulárně fylogenetických přístupů. 1. Na příkladu norníka rudého (</w:t>
      </w:r>
      <w:proofErr w:type="spellStart"/>
      <w:r w:rsidRPr="00745CA5">
        <w:rPr>
          <w:i/>
        </w:rPr>
        <w:t>Myodes</w:t>
      </w:r>
      <w:proofErr w:type="spellEnd"/>
      <w:r w:rsidRPr="00745CA5">
        <w:rPr>
          <w:i/>
        </w:rPr>
        <w:t xml:space="preserve"> </w:t>
      </w:r>
      <w:proofErr w:type="spellStart"/>
      <w:r w:rsidRPr="00745CA5">
        <w:rPr>
          <w:i/>
        </w:rPr>
        <w:t>glareolus</w:t>
      </w:r>
      <w:proofErr w:type="spellEnd"/>
      <w:r w:rsidRPr="00745CA5">
        <w:t xml:space="preserve">, známého také jako </w:t>
      </w:r>
      <w:proofErr w:type="spellStart"/>
      <w:r w:rsidRPr="00745CA5">
        <w:rPr>
          <w:i/>
        </w:rPr>
        <w:t>Clethrionomys</w:t>
      </w:r>
      <w:proofErr w:type="spellEnd"/>
      <w:r w:rsidRPr="00745CA5">
        <w:rPr>
          <w:i/>
        </w:rPr>
        <w:t xml:space="preserve"> </w:t>
      </w:r>
      <w:proofErr w:type="spellStart"/>
      <w:r w:rsidRPr="00745CA5">
        <w:rPr>
          <w:i/>
        </w:rPr>
        <w:t>glareolus</w:t>
      </w:r>
      <w:proofErr w:type="spellEnd"/>
      <w:r w:rsidRPr="00745CA5">
        <w:t xml:space="preserve">) se podařilo ukázat, že existují populace tohoto lesního hraboše, které mají původ v takzvaných „severních“ refugiích, to znamená v glaciálních refugiích, která existovala výrazně severněji než tradičně známá refugia ve Středomoří, s největší pravděpodobností na lokalitách s místně příznivějším klimatem v oblastech pro lesní druhy jinak neobyvatelných (například v údolích Karpat). Řešené projekty se snaží identifikovat klíčové geny zodpovědné za ekologické adaptace, které norníkům v severních refugiích umožnily v takových podmínkách přežít. Dalšími výzkumnými tématy jsou: 2. Ochranářská genetika, </w:t>
      </w:r>
      <w:proofErr w:type="spellStart"/>
      <w:r w:rsidRPr="00745CA5">
        <w:t>fylogeografie</w:t>
      </w:r>
      <w:proofErr w:type="spellEnd"/>
      <w:r w:rsidRPr="00745CA5">
        <w:t xml:space="preserve"> a molekulární systematika žab a hadů. 3. </w:t>
      </w:r>
      <w:proofErr w:type="spellStart"/>
      <w:r w:rsidRPr="00745CA5">
        <w:t>Fylogeografie</w:t>
      </w:r>
      <w:proofErr w:type="spellEnd"/>
      <w:r w:rsidRPr="00745CA5">
        <w:t xml:space="preserve"> a interakce historického a antropogenního toku genů u kaprovitých ryb. 4. Evoluční genetika </w:t>
      </w:r>
      <w:proofErr w:type="spellStart"/>
      <w:r w:rsidRPr="00745CA5">
        <w:t>holarktických</w:t>
      </w:r>
      <w:proofErr w:type="spellEnd"/>
      <w:r w:rsidRPr="00745CA5">
        <w:t xml:space="preserve"> perlooček </w:t>
      </w:r>
      <w:proofErr w:type="spellStart"/>
      <w:r w:rsidRPr="00745CA5">
        <w:rPr>
          <w:i/>
        </w:rPr>
        <w:t>Daphnia</w:t>
      </w:r>
      <w:proofErr w:type="spellEnd"/>
      <w:r w:rsidRPr="00745CA5">
        <w:t>.</w:t>
      </w:r>
    </w:p>
    <w:p w14:paraId="69B81E5F" w14:textId="77777777" w:rsidR="00745CA5" w:rsidRPr="00745CA5" w:rsidRDefault="00745CA5" w:rsidP="00265453">
      <w:pPr>
        <w:pStyle w:val="Heading2"/>
      </w:pPr>
      <w:r w:rsidRPr="00745CA5">
        <w:t>Koncepce dlouhodobého odborného rozvoje pracoviště</w:t>
      </w:r>
    </w:p>
    <w:p w14:paraId="57720DE2" w14:textId="77777777" w:rsidR="00745CA5" w:rsidRPr="00DA78D4" w:rsidRDefault="00745CA5" w:rsidP="00265453">
      <w:pPr>
        <w:rPr>
          <w:rStyle w:val="Strong"/>
        </w:rPr>
      </w:pPr>
      <w:r w:rsidRPr="00DA78D4">
        <w:rPr>
          <w:rStyle w:val="Strong"/>
        </w:rPr>
        <w:t xml:space="preserve">Oblastmi, kde má ÚŽFG dlouhodobě silnou pozici a mezinárodní renomé je zejména studium vývojové biologie obratlovců, základní a aplikovaný výzkum buněčných a genových terapií, výzkum mikrobiomu a jeho vlivu na zdraví hostitele a studium genetické diverzity a ekologie společenství obratlovců. Základem dlouhodobé koncepce rozvoje pracoviště je snaha o cílený rozvoj a podporu výzkumu ve výše uvedených okruzích. Již v současnosti probíhá rozdělování institucionální podpory laboratořím částečně na základě velikosti laboratoře a částečně na jejich odborné výkonnosti. Hlavním nástrojem pro uskutečňování a kontrolu cílů této koncepce je proto pravidelné hodnocení jednotlivých týmů a cílená institucionální podpora úspěšných laboratoří. Základem hodnocení bude především odborná publikační činnost ve formě článků v odborných časopisech a citovanost vzniklých prací dle databází Web </w:t>
      </w:r>
      <w:proofErr w:type="spellStart"/>
      <w:r w:rsidRPr="00DA78D4">
        <w:rPr>
          <w:rStyle w:val="Strong"/>
        </w:rPr>
        <w:t>of</w:t>
      </w:r>
      <w:proofErr w:type="spellEnd"/>
      <w:r w:rsidRPr="00DA78D4">
        <w:rPr>
          <w:rStyle w:val="Strong"/>
        </w:rPr>
        <w:t xml:space="preserve"> Science a SCOPUS, úspěšnost v získávání cílené podpory a aktivity ve spolupráci s aplikační sférou a v závislosti na stádiu akademické kariéry též organizační činnost v životě vědecké obce.</w:t>
      </w:r>
    </w:p>
    <w:p w14:paraId="4D8B7C1B" w14:textId="77777777" w:rsidR="00745CA5" w:rsidRPr="00DA78D4" w:rsidRDefault="00745CA5" w:rsidP="00265453">
      <w:pPr>
        <w:rPr>
          <w:rStyle w:val="Strong"/>
        </w:rPr>
      </w:pPr>
      <w:r w:rsidRPr="00DA78D4">
        <w:rPr>
          <w:rStyle w:val="Strong"/>
        </w:rPr>
        <w:t>Plánované zřízení mezinárodního odborného poradního sboru umožní vedení ÚŽFG získat poradní hlas a zpětnou vazbu pro plánování dlouhodobějších strategických aktivit.</w:t>
      </w:r>
    </w:p>
    <w:p w14:paraId="7B24EBF3" w14:textId="77777777" w:rsidR="00745CA5" w:rsidRPr="00265453" w:rsidRDefault="00745CA5" w:rsidP="00265453">
      <w:r w:rsidRPr="00DA78D4">
        <w:rPr>
          <w:rStyle w:val="Strong"/>
        </w:rPr>
        <w:lastRenderedPageBreak/>
        <w:t>Kromě přímé podpory jednotlivých týmů se vedení ÚŽFG zaměří na celkovou podporu personálního rozvoje pracoviště, podporu transferu znalostí a spolupráce s aplikační sférou a rozvoj infrastruktury ústavu v návaznosti na potřeby jednotlivých týmů.</w:t>
      </w:r>
    </w:p>
    <w:p w14:paraId="527CC8CE" w14:textId="77777777" w:rsidR="00745CA5" w:rsidRPr="00265453" w:rsidRDefault="00745CA5" w:rsidP="00265453">
      <w:pPr>
        <w:pStyle w:val="Heading3"/>
      </w:pPr>
      <w:r w:rsidRPr="00265453">
        <w:t>Personální zajištění rozvoje ústavu</w:t>
      </w:r>
    </w:p>
    <w:p w14:paraId="183066AC" w14:textId="77777777" w:rsidR="00745CA5" w:rsidRPr="00745CA5" w:rsidRDefault="00745CA5" w:rsidP="00265453">
      <w:r w:rsidRPr="00265453">
        <w:t xml:space="preserve">Vedoucími laboratoří ÚŽFG jsou převážně mezinárodně uznávaní vědečtí pracovníci, doplnění v nedávné době mladšími pracovníky se zkušenostmi ze zahraničních pracovišť. To by mělo zajistit kontinuitu a kvalitu směřování jednotlivých laboratoří. </w:t>
      </w:r>
      <w:r w:rsidRPr="00265453">
        <w:rPr>
          <w:color w:val="000000"/>
        </w:rPr>
        <w:t xml:space="preserve">ÚŽFG bude dále podporovat vytváření nových laboratoří, pokud budou svou orientací vhodně zapadat do celkové koncepce ústavu (V současnosti např. jednáno o rozšíření ÚŽFG o 13 laboratoř „Laboratoř signalizace růstových faktorů“ pod vedením Dr. Pavla Krejčího). </w:t>
      </w:r>
      <w:r w:rsidRPr="00265453">
        <w:t>Pracovníci ústavu se podílejí na vědecké pregraduální a postgraduální výchově, formou přednášek na partnerských vysokých školách (např. UK, VŠCHT, ČZU, MU, OU) a jako školitelé doktorandů, kteří pracují na svých dizertačních tématech v laboratořích ústavu. Tato práce je kritická pro vyhledávání a získávání talentovaných mladých vědeckých pracovníků. Je plánováno znovuzavedení Interní grantové agentury ÚŽFG, zaměřené na podporu mladých vědeckých pracovníků (studentů magisterského a doktorského studia a postdoktorandů).</w:t>
      </w:r>
    </w:p>
    <w:p w14:paraId="034444F7" w14:textId="77777777" w:rsidR="00745CA5" w:rsidRPr="00745CA5" w:rsidRDefault="00745CA5" w:rsidP="00265453">
      <w:pPr>
        <w:pStyle w:val="Heading3"/>
      </w:pPr>
      <w:r w:rsidRPr="00745CA5">
        <w:t>Transfer znalostí, spolupráce s aplikační sférou a popularizace vědy</w:t>
      </w:r>
    </w:p>
    <w:p w14:paraId="6D165733" w14:textId="77777777" w:rsidR="00745CA5" w:rsidRPr="00745CA5" w:rsidRDefault="00745CA5" w:rsidP="00265453">
      <w:r w:rsidRPr="00745CA5">
        <w:t>Ústav bude nadále podporovat jak přenos získaných znalostí do praxe, tak jejich šíření formou popularizačních aktivit. Nedávno vytvořené aplikační a projektové oddělení slouží jako podpora vědeckým pracovníkům v získávání a administraci projektů podpory výzkumu, ale i pro administraci smluvního výzkumu a spolupráci s komerční sférou. Pracovníci Laboratoře genetiky ryb poskytují expertní služby, například zapojením do Programu národních genových zdrojů (kapr, lín, síhové, pstruzi, jeseteři) a NATURA 2000 (sekavci, hrouzci, vranky) analýzou genetických parametrů linií a populací, pro kterou má Laboratoř akreditaci Ministerstva zemědělství. Laboratoře Centra PIGMOD spolupracují se soukromou sférou na vývoji a preklinickém testování genových terapií (např. spolupráce s firmou uniQure, Nizozemsko). Tyto aktivity budou nadále rozvíjeny, s cílem uplatnit výsledky výzkumu a co nejefektivněji je přenést do praktického využití.</w:t>
      </w:r>
    </w:p>
    <w:p w14:paraId="0D1C2476" w14:textId="77777777" w:rsidR="00745CA5" w:rsidRPr="00745CA5" w:rsidRDefault="00745CA5" w:rsidP="00265453">
      <w:r w:rsidRPr="00745CA5">
        <w:t>Ústav bude pokračovat v podpoře popularizace vědy, ať již formou účasti na celoakademických aktivitách jako je Týden vědy a techniky AV ČR, během kterého ÚŽFG pravidelně pořádá Dny otevřených dveří, přednášek členů ústavu během Týdne mozku a redakční i publikační účastí na vydávání popularizačního časopisu AV ČR Živa, tak i samostatně organizovanou přednáškovou činností (např. přednášky určené pacientům a členům rodin postižených Huntingtonovou nemocí).</w:t>
      </w:r>
    </w:p>
    <w:p w14:paraId="66E88DCB" w14:textId="77777777" w:rsidR="00745CA5" w:rsidRPr="00745CA5" w:rsidRDefault="00745CA5" w:rsidP="00265453">
      <w:pPr>
        <w:pStyle w:val="Heading3"/>
      </w:pPr>
      <w:r w:rsidRPr="00745CA5">
        <w:t>Rozvoj infrastruktury ústavu</w:t>
      </w:r>
    </w:p>
    <w:p w14:paraId="029484E2" w14:textId="77777777" w:rsidR="00745CA5" w:rsidRPr="00745CA5" w:rsidRDefault="00745CA5" w:rsidP="00265453">
      <w:r w:rsidRPr="00745CA5">
        <w:t>V rámci operačního projektu VaVpI ExAM byly v areálů ÚŽFG v Liběchově vybudovány nové laboratoře, chirurgické sály a chovná zařízení pro experimentální miniprasata. Tato infrastruktura je využívána zejména třemi laboratořemi centra PIGMOD, Laboratoří buněčné regenerace a plasticity, Laboratoří integrity DNA a Laboratoří aplikovaných proteomových analýz pro biomedicínský základní a aplikovaný výzkum, včetně spoluprací s aplikační sférou.</w:t>
      </w:r>
    </w:p>
    <w:p w14:paraId="16BA874E" w14:textId="77777777" w:rsidR="00745CA5" w:rsidRPr="00745CA5" w:rsidRDefault="00745CA5" w:rsidP="00265453">
      <w:r w:rsidRPr="00745CA5">
        <w:t xml:space="preserve">V současnosti probíhá za podpory AV ČR rozšíření prostor v Krčském areálu ÚŽFG, využívaných Laboratoří anaerobní mikrobiologie. </w:t>
      </w:r>
    </w:p>
    <w:p w14:paraId="0CE56D78" w14:textId="77777777" w:rsidR="00745CA5" w:rsidRPr="00745CA5" w:rsidRDefault="00745CA5" w:rsidP="00265453">
      <w:r w:rsidRPr="00745CA5">
        <w:lastRenderedPageBreak/>
        <w:t xml:space="preserve">Dlouhodobějším záměrem je přesun Brněnských laboratoří ÚŽFG (Laboratoř molekulární morfogeneze a Laboratoř neurobiologie a patologické fyziologie) do nové budovy Sdružení moravských pracovišť AV ČR. </w:t>
      </w:r>
    </w:p>
    <w:p w14:paraId="58A54C90" w14:textId="77777777" w:rsidR="00745CA5" w:rsidRPr="00745CA5" w:rsidRDefault="00745CA5" w:rsidP="00265453">
      <w:r w:rsidRPr="00745CA5">
        <w:t xml:space="preserve">ÚŽFG disponuje moderním přístrojovým vybavením, včetně průtokových </w:t>
      </w:r>
      <w:proofErr w:type="spellStart"/>
      <w:r w:rsidRPr="00745CA5">
        <w:t>cytometrů</w:t>
      </w:r>
      <w:proofErr w:type="spellEnd"/>
      <w:r w:rsidRPr="00745CA5">
        <w:t xml:space="preserve"> a buněčných a chromozomových </w:t>
      </w:r>
      <w:proofErr w:type="spellStart"/>
      <w:r w:rsidRPr="00745CA5">
        <w:t>sorterů</w:t>
      </w:r>
      <w:proofErr w:type="spellEnd"/>
      <w:r w:rsidRPr="00745CA5">
        <w:t xml:space="preserve">, konfokálního mikroskopu pro zobrazení živých buněk a hmotnostních spektrometrů pro proteomické a </w:t>
      </w:r>
      <w:proofErr w:type="spellStart"/>
      <w:r w:rsidRPr="00745CA5">
        <w:t>metabolomické</w:t>
      </w:r>
      <w:proofErr w:type="spellEnd"/>
      <w:r w:rsidRPr="00745CA5">
        <w:t xml:space="preserve"> studie. Do budoucna je plánován další rozvoj a udržování přístrojového vybavení a technického zázemí na špičkové úrovni za využití akademických i účelových zdrojů, včetně mezinárodních programů. Důraz bude kladen zejména na potřeby excelentních týmů v rámci ÚŽFG, ale pro účelné využití získaného vybavení bude ústav podporovat spolupráci s výzkumnou i aplikační sférou na národní a mezinárodní úrovni.</w:t>
      </w:r>
    </w:p>
    <w:p w14:paraId="58772473" w14:textId="77777777" w:rsidR="00745CA5" w:rsidRPr="00745CA5" w:rsidRDefault="00745CA5" w:rsidP="00265453">
      <w:pPr>
        <w:pStyle w:val="Heading3"/>
      </w:pPr>
      <w:r w:rsidRPr="00745CA5">
        <w:t>Účast v platformě Strategie AV21</w:t>
      </w:r>
    </w:p>
    <w:p w14:paraId="6DBE3E72" w14:textId="77777777" w:rsidR="00745CA5" w:rsidRPr="00745CA5" w:rsidRDefault="00745CA5" w:rsidP="00265453">
      <w:r w:rsidRPr="00745CA5">
        <w:t xml:space="preserve">Akademie věd České republiky v roce 2014 schválila novou platformu pro koordinaci výzkumných programů jednotlivých pracovišť AV ČR, s cílem řešit aktuální problémy a výzvy, Strategii AV21. Motem této iniciativy je „Špičkový výzkum ve veřejném zájmu“ a ÚŽFG se do ní zapojila účastí v programu </w:t>
      </w:r>
      <w:r w:rsidRPr="00745CA5">
        <w:rPr>
          <w:b/>
        </w:rPr>
        <w:t xml:space="preserve">Potraviny a Biodiverzita – </w:t>
      </w:r>
      <w:r w:rsidRPr="00745CA5">
        <w:t>projektem</w:t>
      </w:r>
      <w:r w:rsidRPr="00745CA5">
        <w:rPr>
          <w:b/>
        </w:rPr>
        <w:t xml:space="preserve"> Molekulární technologie pro šlechtění zvířat, produkci, zpracování a využití potravin živočišného původu (</w:t>
      </w:r>
      <w:r w:rsidRPr="00745CA5">
        <w:rPr>
          <w:b/>
          <w:iCs/>
        </w:rPr>
        <w:t>Ing. Jan Kopečný, DrSc</w:t>
      </w:r>
      <w:r w:rsidRPr="00745CA5">
        <w:rPr>
          <w:b/>
          <w:i/>
          <w:iCs/>
        </w:rPr>
        <w:t>.)</w:t>
      </w:r>
      <w:r w:rsidRPr="00745CA5">
        <w:rPr>
          <w:b/>
        </w:rPr>
        <w:t xml:space="preserve">, </w:t>
      </w:r>
      <w:r w:rsidRPr="00745CA5">
        <w:t xml:space="preserve">programu </w:t>
      </w:r>
      <w:r w:rsidRPr="00745CA5">
        <w:rPr>
          <w:b/>
        </w:rPr>
        <w:t>Preklinika</w:t>
      </w:r>
      <w:r w:rsidRPr="00745CA5">
        <w:t xml:space="preserve">, zaměřeném na testování nových léčiv a terapií v režimu správné laboratorní praxe (SLP) – projektem </w:t>
      </w:r>
      <w:r w:rsidRPr="00745CA5">
        <w:rPr>
          <w:b/>
          <w:bCs/>
        </w:rPr>
        <w:t>Studie toxicity včetně toxikokinetických studií slibných chemických látek na modelových zvířatech (MVDr. Štefan Juhás, PhD)</w:t>
      </w:r>
      <w:r w:rsidRPr="00745CA5">
        <w:rPr>
          <w:bCs/>
        </w:rPr>
        <w:t>, programu</w:t>
      </w:r>
      <w:r w:rsidRPr="00745CA5">
        <w:rPr>
          <w:b/>
          <w:bCs/>
        </w:rPr>
        <w:t xml:space="preserve"> QUALITAS – Kvalitní život ve zdraví a nemoci (RNDr. Petr Šolc, PhD) a programu ROZE projektem genetická charakteristika českých plemen kapra obecného (RNDr. Vlastimil Šlechta, CSc.)</w:t>
      </w:r>
      <w:r w:rsidRPr="00745CA5">
        <w:t>.</w:t>
      </w:r>
    </w:p>
    <w:p w14:paraId="49E67BA5" w14:textId="5F6EBB33" w:rsidR="007757E8" w:rsidRDefault="00745CA5" w:rsidP="00265453">
      <w:r w:rsidRPr="00745CA5">
        <w:t>Ústav plánuje využít zapojení jednotlivých laboratoří do programů Strategie AV21 k další podpoře spolupráce napříč pracovišti AV ČR.</w:t>
      </w:r>
    </w:p>
    <w:p w14:paraId="361073A9" w14:textId="3031F5F5" w:rsidR="00DA78D4" w:rsidRDefault="00DA78D4" w:rsidP="00265453"/>
    <w:p w14:paraId="07B5907F" w14:textId="5B751F78" w:rsidR="00DA78D4" w:rsidRDefault="00DA78D4" w:rsidP="00265453"/>
    <w:p w14:paraId="37EB09F3" w14:textId="77777777" w:rsidR="008A7AD4" w:rsidRDefault="008A7AD4" w:rsidP="00265453"/>
    <w:p w14:paraId="37451570" w14:textId="717BDD70" w:rsidR="00DA78D4" w:rsidRDefault="00DA78D4" w:rsidP="00265453">
      <w:r>
        <w:t>Dne:</w:t>
      </w:r>
    </w:p>
    <w:p w14:paraId="2325E51D" w14:textId="48BF46B4" w:rsidR="00DA78D4" w:rsidRDefault="00DA78D4" w:rsidP="00265453"/>
    <w:p w14:paraId="6D08463F" w14:textId="77777777" w:rsidR="008A7AD4" w:rsidRDefault="008A7AD4" w:rsidP="00265453"/>
    <w:p w14:paraId="169C72C9" w14:textId="5681E2D6" w:rsidR="00DA78D4" w:rsidRPr="00DA78D4" w:rsidRDefault="00DA78D4" w:rsidP="00DA78D4">
      <w:r>
        <w:t>Ing. Michal Kubelka, CSc.</w:t>
      </w:r>
      <w:r>
        <w:tab/>
      </w:r>
      <w:r>
        <w:tab/>
      </w:r>
      <w:r>
        <w:tab/>
      </w:r>
      <w:r w:rsidR="008A7AD4">
        <w:tab/>
      </w:r>
      <w:r w:rsidR="008A7AD4">
        <w:tab/>
      </w:r>
      <w:r w:rsidRPr="00DA78D4">
        <w:t>prof. Ing. Petr Ráb, DrSc., dr. h. c.</w:t>
      </w:r>
    </w:p>
    <w:p w14:paraId="6FDF7A5C" w14:textId="45CF9CCD" w:rsidR="00DA78D4" w:rsidRDefault="00DA78D4" w:rsidP="00DA78D4">
      <w:r>
        <w:t>ředitel ÚŽFG AV ČR, v. v. i.</w:t>
      </w:r>
      <w:r w:rsidR="008A7AD4">
        <w:tab/>
      </w:r>
      <w:r w:rsidR="008A7AD4">
        <w:tab/>
      </w:r>
      <w:r w:rsidR="008A7AD4">
        <w:tab/>
      </w:r>
      <w:r w:rsidR="008A7AD4">
        <w:tab/>
      </w:r>
      <w:r w:rsidR="008A7AD4">
        <w:tab/>
      </w:r>
      <w:r w:rsidRPr="00DA78D4">
        <w:t xml:space="preserve">předseda Rady </w:t>
      </w:r>
      <w:r>
        <w:t>ÚŽFG AV ČR, v. v. i.</w:t>
      </w:r>
    </w:p>
    <w:p w14:paraId="1035B69F" w14:textId="05B9566F" w:rsidR="00DA78D4" w:rsidRPr="0002779F" w:rsidRDefault="00DA78D4" w:rsidP="00DA78D4"/>
    <w:sectPr w:rsidR="00DA78D4" w:rsidRPr="0002779F" w:rsidSect="00C20034">
      <w:footerReference w:type="default" r:id="rId7"/>
      <w:headerReference w:type="first" r:id="rId8"/>
      <w:footerReference w:type="first" r:id="rId9"/>
      <w:pgSz w:w="12240" w:h="15840" w:code="1"/>
      <w:pgMar w:top="1134" w:right="1077" w:bottom="1440" w:left="1077" w:header="39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70A41" w14:textId="77777777" w:rsidR="00B32CEE" w:rsidRDefault="00B32CEE" w:rsidP="00265453">
      <w:r>
        <w:separator/>
      </w:r>
    </w:p>
  </w:endnote>
  <w:endnote w:type="continuationSeparator" w:id="0">
    <w:p w14:paraId="30E9ACA3" w14:textId="77777777" w:rsidR="00B32CEE" w:rsidRDefault="00B32CEE" w:rsidP="0026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Source Code Pro Black">
    <w:panose1 w:val="020B0809030403020204"/>
    <w:charset w:val="00"/>
    <w:family w:val="modern"/>
    <w:pitch w:val="fixed"/>
    <w:sig w:usb0="200002F7" w:usb1="02003803" w:usb2="00000000" w:usb3="00000000" w:csb0="0000019F" w:csb1="00000000"/>
  </w:font>
  <w:font w:name="Droid Sans Mono Dotted">
    <w:panose1 w:val="020B0609030804020204"/>
    <w:charset w:val="00"/>
    <w:family w:val="modern"/>
    <w:pitch w:val="fixed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831821"/>
      <w:docPartObj>
        <w:docPartGallery w:val="Page Numbers (Bottom of Page)"/>
        <w:docPartUnique/>
      </w:docPartObj>
    </w:sdtPr>
    <w:sdtEndPr/>
    <w:sdtContent>
      <w:p w14:paraId="62147D79" w14:textId="6177435F" w:rsidR="0002779F" w:rsidRPr="00BD0186" w:rsidRDefault="00BD0186" w:rsidP="00265453">
        <w:pPr>
          <w:pStyle w:val="Footer"/>
        </w:pPr>
        <w:r w:rsidRPr="00BD0186">
          <w:rPr>
            <w:bCs/>
            <w:lang w:eastAsia="cs-CZ"/>
          </w:rPr>
          <w:t xml:space="preserve">Ústav živočišné fyziologie a genetiky AV ČR, v. v. i., </w:t>
        </w:r>
        <w:r w:rsidRPr="00BD0186">
          <w:rPr>
            <w:lang w:eastAsia="cs-CZ"/>
          </w:rPr>
          <w:t>Rumburská 89, 277 21 Liběchov</w:t>
        </w:r>
        <w:r w:rsidRPr="00BD0186">
          <w:rPr>
            <w:lang w:eastAsia="cs-CZ"/>
          </w:rPr>
          <w:ptab w:relativeTo="margin" w:alignment="right" w:leader="none"/>
        </w:r>
        <w:r w:rsidRPr="00BD0186">
          <w:t xml:space="preserve">Strana | </w:t>
        </w:r>
        <w:r w:rsidRPr="00BD0186">
          <w:fldChar w:fldCharType="begin"/>
        </w:r>
        <w:r w:rsidRPr="00BD0186">
          <w:instrText xml:space="preserve"> PAGE   \* MERGEFORMAT </w:instrText>
        </w:r>
        <w:r w:rsidRPr="00BD0186">
          <w:fldChar w:fldCharType="separate"/>
        </w:r>
        <w:r>
          <w:t>1</w:t>
        </w:r>
        <w:r w:rsidRPr="00BD0186">
          <w:rPr>
            <w:noProof/>
          </w:rPr>
          <w:fldChar w:fldCharType="end"/>
        </w:r>
        <w:r w:rsidRPr="00BD0186"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</w:rPr>
      <w:id w:val="1934317447"/>
      <w:docPartObj>
        <w:docPartGallery w:val="Page Numbers (Bottom of Page)"/>
        <w:docPartUnique/>
      </w:docPartObj>
    </w:sdtPr>
    <w:sdtEndPr/>
    <w:sdtContent>
      <w:p w14:paraId="0D00C836" w14:textId="23158256" w:rsidR="00BD0186" w:rsidRPr="000F1BC2" w:rsidRDefault="00BD0186" w:rsidP="00265453">
        <w:pPr>
          <w:pStyle w:val="Footer"/>
          <w:rPr>
            <w:rFonts w:ascii="Open Sans" w:hAnsi="Open Sans" w:cs="Open Sans"/>
          </w:rPr>
        </w:pPr>
        <w:r w:rsidRPr="000F1BC2">
          <w:rPr>
            <w:rFonts w:ascii="Open Sans" w:hAnsi="Open Sans" w:cs="Open Sans"/>
            <w:bCs/>
            <w:lang w:eastAsia="cs-CZ"/>
          </w:rPr>
          <w:t xml:space="preserve">Ústav živočišné fyziologie a genetiky AV ČR, v. v. i., </w:t>
        </w:r>
        <w:r w:rsidRPr="000F1BC2">
          <w:rPr>
            <w:rFonts w:ascii="Open Sans" w:hAnsi="Open Sans" w:cs="Open Sans"/>
            <w:lang w:eastAsia="cs-CZ"/>
          </w:rPr>
          <w:t>Rumburská 89, 277 21 Liběchov</w:t>
        </w:r>
        <w:r w:rsidRPr="000F1BC2">
          <w:rPr>
            <w:rFonts w:ascii="Open Sans" w:hAnsi="Open Sans" w:cs="Open Sans"/>
            <w:lang w:eastAsia="cs-CZ"/>
          </w:rPr>
          <w:ptab w:relativeTo="margin" w:alignment="right" w:leader="none"/>
        </w:r>
        <w:r w:rsidRPr="000F1BC2">
          <w:rPr>
            <w:rFonts w:ascii="Open Sans" w:hAnsi="Open Sans" w:cs="Open Sans"/>
          </w:rPr>
          <w:t xml:space="preserve">Strana | </w:t>
        </w:r>
        <w:r w:rsidRPr="000F1BC2">
          <w:rPr>
            <w:rFonts w:ascii="Open Sans" w:hAnsi="Open Sans" w:cs="Open Sans"/>
          </w:rPr>
          <w:fldChar w:fldCharType="begin"/>
        </w:r>
        <w:r w:rsidRPr="000F1BC2">
          <w:rPr>
            <w:rFonts w:ascii="Open Sans" w:hAnsi="Open Sans" w:cs="Open Sans"/>
          </w:rPr>
          <w:instrText xml:space="preserve"> PAGE   \* MERGEFORMAT </w:instrText>
        </w:r>
        <w:r w:rsidRPr="000F1BC2">
          <w:rPr>
            <w:rFonts w:ascii="Open Sans" w:hAnsi="Open Sans" w:cs="Open Sans"/>
          </w:rPr>
          <w:fldChar w:fldCharType="separate"/>
        </w:r>
        <w:r w:rsidRPr="000F1BC2">
          <w:rPr>
            <w:rFonts w:ascii="Open Sans" w:hAnsi="Open Sans" w:cs="Open Sans"/>
            <w:noProof/>
          </w:rPr>
          <w:t>2</w:t>
        </w:r>
        <w:r w:rsidRPr="000F1BC2">
          <w:rPr>
            <w:rFonts w:ascii="Open Sans" w:hAnsi="Open Sans" w:cs="Open Sans"/>
            <w:noProof/>
          </w:rPr>
          <w:fldChar w:fldCharType="end"/>
        </w:r>
        <w:r w:rsidRPr="000F1BC2">
          <w:rPr>
            <w:rFonts w:ascii="Open Sans" w:hAnsi="Open Sans" w:cs="Open Sans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93B97" w14:textId="77777777" w:rsidR="00B32CEE" w:rsidRDefault="00B32CEE" w:rsidP="00265453">
      <w:r>
        <w:separator/>
      </w:r>
    </w:p>
  </w:footnote>
  <w:footnote w:type="continuationSeparator" w:id="0">
    <w:p w14:paraId="5C3B4480" w14:textId="77777777" w:rsidR="00B32CEE" w:rsidRDefault="00B32CEE" w:rsidP="0026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487C8" w14:textId="77777777" w:rsidR="00892BFB" w:rsidRPr="005C0033" w:rsidRDefault="00892BFB" w:rsidP="005C0033">
    <w:pPr>
      <w:pStyle w:val="Header"/>
      <w:ind w:firstLine="1418"/>
      <w:rPr>
        <w:rFonts w:ascii="Open Sans" w:hAnsi="Open Sans" w:cs="Open Sans"/>
        <w:b/>
        <w:sz w:val="34"/>
        <w:szCs w:val="34"/>
      </w:rPr>
    </w:pPr>
    <w:r w:rsidRPr="005C0033">
      <w:rPr>
        <w:rFonts w:ascii="Open Sans" w:hAnsi="Open Sans" w:cs="Open Sans"/>
        <w:b/>
        <w:noProof/>
        <w:sz w:val="34"/>
        <w:szCs w:val="34"/>
        <w:lang w:val="en-US"/>
      </w:rPr>
      <w:drawing>
        <wp:anchor distT="0" distB="0" distL="114300" distR="121920" simplePos="0" relativeHeight="251662336" behindDoc="1" locked="0" layoutInCell="1" allowOverlap="1" wp14:anchorId="16DFCCAB" wp14:editId="22BB7BF6">
          <wp:simplePos x="0" y="0"/>
          <wp:positionH relativeFrom="page">
            <wp:posOffset>696823</wp:posOffset>
          </wp:positionH>
          <wp:positionV relativeFrom="page">
            <wp:posOffset>269240</wp:posOffset>
          </wp:positionV>
          <wp:extent cx="741045" cy="741045"/>
          <wp:effectExtent l="0" t="0" r="1905" b="1905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logo ÚŽFG 2009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033">
      <w:rPr>
        <w:rFonts w:ascii="Open Sans" w:hAnsi="Open Sans" w:cs="Open Sans"/>
        <w:b/>
        <w:sz w:val="34"/>
        <w:szCs w:val="34"/>
      </w:rPr>
      <w:ptab w:relativeTo="margin" w:alignment="left" w:leader="none"/>
    </w:r>
    <w:r w:rsidRPr="005C0033">
      <w:rPr>
        <w:rFonts w:ascii="Open Sans" w:hAnsi="Open Sans" w:cs="Open Sans"/>
        <w:b/>
        <w:sz w:val="34"/>
        <w:szCs w:val="34"/>
      </w:rPr>
      <w:t>Ústav živočišné fyziologie a genetiky AV ČR, v. v. i.</w:t>
    </w:r>
  </w:p>
  <w:p w14:paraId="4079C1FF" w14:textId="77777777" w:rsidR="00892BFB" w:rsidRPr="005C0033" w:rsidRDefault="00892BFB" w:rsidP="005C0033">
    <w:pPr>
      <w:pStyle w:val="Header"/>
      <w:ind w:firstLine="1418"/>
      <w:rPr>
        <w:rFonts w:ascii="Open Sans" w:hAnsi="Open Sans" w:cs="Open Sans"/>
      </w:rPr>
    </w:pPr>
    <w:r w:rsidRPr="005C0033">
      <w:rPr>
        <w:rFonts w:ascii="Open Sans" w:hAnsi="Open Sans" w:cs="Open Sans"/>
      </w:rPr>
      <w:t>Rumburská 89, 277 21 Liběchov, Česká republika</w:t>
    </w:r>
  </w:p>
  <w:p w14:paraId="1A143246" w14:textId="3D22F8E2" w:rsidR="00892BFB" w:rsidRPr="005C0033" w:rsidRDefault="00892BFB" w:rsidP="005C0033">
    <w:pPr>
      <w:pStyle w:val="Header"/>
      <w:ind w:firstLine="1418"/>
      <w:rPr>
        <w:rFonts w:ascii="Open Sans Semibold" w:hAnsi="Open Sans Semibold" w:cs="Open Sans Semibold"/>
        <w:sz w:val="16"/>
        <w:szCs w:val="16"/>
      </w:rPr>
    </w:pPr>
    <w:r w:rsidRPr="005C0033">
      <w:rPr>
        <w:rFonts w:ascii="Open Sans" w:hAnsi="Open Sans" w:cs="Open Sans"/>
        <w:sz w:val="16"/>
        <w:szCs w:val="16"/>
      </w:rPr>
      <w:t>IČO: 67985904 DIČ: CZ67985904</w:t>
    </w:r>
    <w:r w:rsidRPr="005C0033">
      <w:rPr>
        <w:rFonts w:ascii="Open Sans" w:hAnsi="Open Sans" w:cs="Open Sans"/>
        <w:sz w:val="16"/>
        <w:szCs w:val="16"/>
      </w:rPr>
      <w:tab/>
    </w:r>
    <w:r w:rsidRPr="005C0033">
      <w:rPr>
        <w:rFonts w:ascii="Open Sans" w:hAnsi="Open Sans" w:cs="Open Sans"/>
        <w:sz w:val="16"/>
        <w:szCs w:val="16"/>
      </w:rPr>
      <w:ptab w:relativeTo="margin" w:alignment="right" w:leader="none"/>
    </w:r>
    <w:r w:rsidRPr="005C0033">
      <w:rPr>
        <w:rFonts w:ascii="Open Sans" w:hAnsi="Open Sans" w:cs="Open Sans"/>
        <w:sz w:val="16"/>
        <w:szCs w:val="16"/>
      </w:rPr>
      <w:t xml:space="preserve">tel.: </w:t>
    </w:r>
    <w:r w:rsidRPr="005C0033">
      <w:rPr>
        <w:rFonts w:ascii="Open Sans Semibold" w:hAnsi="Open Sans Semibold" w:cs="Open Sans Semibold"/>
        <w:bCs/>
        <w:sz w:val="16"/>
        <w:szCs w:val="16"/>
      </w:rPr>
      <w:t>315 639 532</w:t>
    </w:r>
    <w:r w:rsidRPr="005C0033">
      <w:rPr>
        <w:rFonts w:ascii="Open Sans" w:hAnsi="Open Sans" w:cs="Open Sans"/>
        <w:sz w:val="16"/>
        <w:szCs w:val="16"/>
      </w:rPr>
      <w:t>; fax:</w:t>
    </w:r>
    <w:r w:rsidRPr="005C0033">
      <w:rPr>
        <w:rFonts w:ascii="Open Sans" w:hAnsi="Open Sans" w:cs="Open Sans"/>
        <w:b/>
        <w:bCs/>
        <w:sz w:val="16"/>
        <w:szCs w:val="16"/>
      </w:rPr>
      <w:t xml:space="preserve"> </w:t>
    </w:r>
    <w:r w:rsidRPr="005C0033">
      <w:rPr>
        <w:rFonts w:ascii="Open Sans Semibold" w:hAnsi="Open Sans Semibold" w:cs="Open Sans Semibold"/>
        <w:bCs/>
        <w:sz w:val="16"/>
        <w:szCs w:val="16"/>
      </w:rPr>
      <w:t>315 639 510</w:t>
    </w:r>
  </w:p>
  <w:p w14:paraId="21A4DC64" w14:textId="3A50A30C" w:rsidR="00892BFB" w:rsidRPr="005C0033" w:rsidRDefault="00892BFB" w:rsidP="005C0033">
    <w:pPr>
      <w:pStyle w:val="Header"/>
      <w:ind w:firstLine="1418"/>
      <w:rPr>
        <w:sz w:val="16"/>
        <w:szCs w:val="16"/>
      </w:rPr>
    </w:pPr>
    <w:r w:rsidRPr="005C0033">
      <w:rPr>
        <w:rFonts w:ascii="Open Sans" w:hAnsi="Open Sans" w:cs="Open Sans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8F5CEB" wp14:editId="4FEC60F6">
              <wp:simplePos x="0" y="0"/>
              <wp:positionH relativeFrom="column">
                <wp:posOffset>44404</wp:posOffset>
              </wp:positionH>
              <wp:positionV relativeFrom="paragraph">
                <wp:posOffset>175840</wp:posOffset>
              </wp:positionV>
              <wp:extent cx="6361056" cy="48365"/>
              <wp:effectExtent l="19050" t="19050" r="20955" b="2794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056" cy="4836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AAD4D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13.85pt" to="504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" strokecolor="black [3213]" strokeweight="2.25pt"/>
          </w:pict>
        </mc:Fallback>
      </mc:AlternateContent>
    </w:r>
    <w:r w:rsidRPr="005C0033">
      <w:rPr>
        <w:rFonts w:ascii="Open Sans" w:hAnsi="Open Sans" w:cs="Open Sans"/>
        <w:color w:val="000000"/>
        <w:sz w:val="16"/>
        <w:szCs w:val="16"/>
      </w:rPr>
      <w:t xml:space="preserve">ID Datové schránky: </w:t>
    </w:r>
    <w:r w:rsidRPr="005C0033">
      <w:rPr>
        <w:rFonts w:ascii="Open Sans Semibold" w:hAnsi="Open Sans Semibold" w:cs="Open Sans Semibold"/>
        <w:color w:val="000000"/>
        <w:sz w:val="16"/>
        <w:szCs w:val="16"/>
      </w:rPr>
      <w:t>tw6hm2a</w:t>
    </w:r>
    <w:r w:rsidRPr="005C0033">
      <w:rPr>
        <w:rFonts w:ascii="Open Sans" w:hAnsi="Open Sans" w:cs="Open Sans"/>
        <w:color w:val="000000"/>
        <w:sz w:val="16"/>
        <w:szCs w:val="16"/>
      </w:rPr>
      <w:tab/>
    </w:r>
    <w:r w:rsidRPr="005C0033">
      <w:rPr>
        <w:rFonts w:ascii="Open Sans" w:hAnsi="Open Sans" w:cs="Open Sans"/>
        <w:color w:val="000000"/>
        <w:sz w:val="16"/>
        <w:szCs w:val="16"/>
      </w:rPr>
      <w:ptab w:relativeTo="margin" w:alignment="right" w:leader="none"/>
    </w:r>
    <w:proofErr w:type="gramStart"/>
    <w:r w:rsidRPr="005C0033">
      <w:rPr>
        <w:rFonts w:ascii="Open Sans" w:hAnsi="Open Sans" w:cs="Open Sans"/>
        <w:color w:val="000000"/>
        <w:sz w:val="16"/>
        <w:szCs w:val="16"/>
      </w:rPr>
      <w:t>E-mail</w:t>
    </w:r>
    <w:proofErr w:type="gramEnd"/>
    <w:r w:rsidRPr="005C0033">
      <w:rPr>
        <w:rFonts w:ascii="Open Sans" w:hAnsi="Open Sans" w:cs="Open Sans"/>
        <w:sz w:val="16"/>
        <w:szCs w:val="16"/>
      </w:rPr>
      <w:t xml:space="preserve">: </w:t>
    </w:r>
    <w:hyperlink r:id="rId2">
      <w:r w:rsidRPr="005C0033">
        <w:rPr>
          <w:rStyle w:val="InternetLink"/>
          <w:rFonts w:ascii="Open Sans" w:hAnsi="Open Sans" w:cs="Open Sans"/>
          <w:sz w:val="16"/>
          <w:szCs w:val="16"/>
        </w:rPr>
        <w:t>uzfg</w:t>
      </w:r>
      <w:r w:rsidRPr="005C0033">
        <w:rPr>
          <w:rStyle w:val="InternetLink"/>
          <w:rFonts w:ascii="Open Sans" w:hAnsi="Open Sans" w:cs="Open Sans"/>
          <w:sz w:val="16"/>
          <w:szCs w:val="16"/>
          <w:lang w:val="it-IT"/>
        </w:rPr>
        <w:t>@</w:t>
      </w:r>
      <w:r w:rsidRPr="005C0033">
        <w:rPr>
          <w:rStyle w:val="InternetLink"/>
          <w:rFonts w:ascii="Open Sans" w:hAnsi="Open Sans" w:cs="Open Sans"/>
          <w:sz w:val="16"/>
          <w:szCs w:val="16"/>
        </w:rPr>
        <w:t>iapg.cas.cz</w:t>
      </w:r>
    </w:hyperlink>
    <w:r w:rsidRPr="005C0033">
      <w:rPr>
        <w:rFonts w:ascii="Open Sans" w:hAnsi="Open Sans" w:cs="Open Sans"/>
        <w:sz w:val="16"/>
        <w:szCs w:val="16"/>
      </w:rPr>
      <w:t xml:space="preserve">; </w:t>
    </w:r>
    <w:r w:rsidRPr="005C0033">
      <w:rPr>
        <w:rFonts w:ascii="Open Sans" w:hAnsi="Open Sans" w:cs="Open Sans"/>
        <w:color w:val="000000"/>
        <w:sz w:val="16"/>
        <w:szCs w:val="16"/>
      </w:rPr>
      <w:t>URL</w:t>
    </w:r>
    <w:r w:rsidRPr="005C0033">
      <w:rPr>
        <w:rFonts w:ascii="Open Sans" w:hAnsi="Open Sans" w:cs="Open Sans"/>
        <w:sz w:val="16"/>
        <w:szCs w:val="16"/>
      </w:rPr>
      <w:t xml:space="preserve"> </w:t>
    </w:r>
    <w:hyperlink r:id="rId3">
      <w:r w:rsidRPr="005C0033">
        <w:rPr>
          <w:rStyle w:val="InternetLink"/>
          <w:rFonts w:ascii="Open Sans" w:hAnsi="Open Sans" w:cs="Open Sans"/>
          <w:sz w:val="16"/>
          <w:szCs w:val="16"/>
        </w:rPr>
        <w:t>http://www.iapg.cas.cz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80EE2"/>
    <w:multiLevelType w:val="hybridMultilevel"/>
    <w:tmpl w:val="A088F7CA"/>
    <w:lvl w:ilvl="0" w:tplc="81368F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9F"/>
    <w:rsid w:val="0002779F"/>
    <w:rsid w:val="0008094D"/>
    <w:rsid w:val="000F1BC2"/>
    <w:rsid w:val="001212B9"/>
    <w:rsid w:val="00164CF7"/>
    <w:rsid w:val="00226536"/>
    <w:rsid w:val="00265453"/>
    <w:rsid w:val="004A123F"/>
    <w:rsid w:val="00590ECE"/>
    <w:rsid w:val="005B2582"/>
    <w:rsid w:val="005C0033"/>
    <w:rsid w:val="00670152"/>
    <w:rsid w:val="00745CA5"/>
    <w:rsid w:val="007757E8"/>
    <w:rsid w:val="00866724"/>
    <w:rsid w:val="00892BFB"/>
    <w:rsid w:val="00897046"/>
    <w:rsid w:val="008A7AD4"/>
    <w:rsid w:val="00B32CEE"/>
    <w:rsid w:val="00BD0186"/>
    <w:rsid w:val="00C20034"/>
    <w:rsid w:val="00D62018"/>
    <w:rsid w:val="00DA78D4"/>
    <w:rsid w:val="00E01E27"/>
    <w:rsid w:val="00E234DA"/>
    <w:rsid w:val="00EE00B7"/>
    <w:rsid w:val="00F147CC"/>
    <w:rsid w:val="00F6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F602"/>
  <w15:chartTrackingRefBased/>
  <w15:docId w15:val="{8B2450FE-1F13-44E5-95F6-A5C9ED02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7CC"/>
    <w:pPr>
      <w:spacing w:after="120" w:line="259" w:lineRule="auto"/>
      <w:contextualSpacing/>
      <w:jc w:val="both"/>
    </w:pPr>
    <w:rPr>
      <w:rFonts w:asciiTheme="minorHAnsi" w:eastAsia="Times New Roman" w:hAnsiTheme="minorHAnsi"/>
      <w:sz w:val="22"/>
      <w:szCs w:val="22"/>
      <w:lang w:val="cs-CZ"/>
    </w:rPr>
  </w:style>
  <w:style w:type="paragraph" w:styleId="Heading1">
    <w:name w:val="heading 1"/>
    <w:basedOn w:val="Normal"/>
    <w:link w:val="Heading1Char"/>
    <w:autoRedefine/>
    <w:uiPriority w:val="9"/>
    <w:qFormat/>
    <w:rsid w:val="00F147CC"/>
    <w:pPr>
      <w:keepNext/>
      <w:keepLines/>
      <w:spacing w:before="480"/>
      <w:jc w:val="center"/>
      <w:outlineLvl w:val="0"/>
    </w:pPr>
    <w:rPr>
      <w:rFonts w:asciiTheme="majorHAnsi" w:hAnsiTheme="majorHAnsi"/>
      <w:b/>
      <w:color w:val="262626"/>
      <w:sz w:val="44"/>
      <w:szCs w:val="32"/>
    </w:rPr>
  </w:style>
  <w:style w:type="paragraph" w:styleId="Heading2">
    <w:name w:val="heading 2"/>
    <w:basedOn w:val="Normal"/>
    <w:link w:val="Heading2Char"/>
    <w:qFormat/>
    <w:rsid w:val="00F147CC"/>
    <w:pPr>
      <w:keepNext/>
      <w:keepLines/>
      <w:spacing w:before="40" w:after="80"/>
      <w:outlineLvl w:val="1"/>
    </w:pPr>
    <w:rPr>
      <w:rFonts w:asciiTheme="majorHAnsi" w:hAnsiTheme="majorHAnsi"/>
      <w:color w:val="262626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147CC"/>
    <w:pPr>
      <w:keepNext/>
      <w:keepLines/>
      <w:spacing w:before="120" w:after="40"/>
      <w:outlineLvl w:val="2"/>
    </w:pPr>
    <w:rPr>
      <w:rFonts w:asciiTheme="majorHAnsi" w:hAnsiTheme="majorHAnsi"/>
      <w:color w:val="0D0D0D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47CC"/>
    <w:pPr>
      <w:keepNext/>
      <w:keepLines/>
      <w:spacing w:before="40" w:after="0"/>
      <w:outlineLvl w:val="3"/>
    </w:pPr>
    <w:rPr>
      <w:rFonts w:asciiTheme="majorHAnsi" w:hAnsiTheme="majorHAnsi"/>
      <w:i/>
      <w:iCs/>
      <w:color w:val="000000" w:themeColor="text1"/>
      <w:sz w:val="24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164C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7CC"/>
    <w:rPr>
      <w:rFonts w:asciiTheme="majorHAnsi" w:eastAsia="Times New Roman" w:hAnsiTheme="majorHAnsi"/>
      <w:b/>
      <w:color w:val="262626"/>
      <w:sz w:val="44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qFormat/>
    <w:rsid w:val="00F147CC"/>
    <w:rPr>
      <w:rFonts w:asciiTheme="majorHAnsi" w:eastAsia="Times New Roman" w:hAnsiTheme="majorHAnsi"/>
      <w:color w:val="262626"/>
      <w:sz w:val="32"/>
      <w:szCs w:val="28"/>
      <w:lang w:val="cs-CZ"/>
    </w:rPr>
  </w:style>
  <w:style w:type="character" w:styleId="IntenseEmphasis">
    <w:name w:val="Intense Emphasis"/>
    <w:basedOn w:val="DefaultParagraphFont"/>
    <w:uiPriority w:val="21"/>
    <w:qFormat/>
    <w:rsid w:val="00F648F6"/>
    <w:rPr>
      <w:i/>
      <w:iCs/>
      <w:color w:val="E69F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8F6"/>
    <w:pPr>
      <w:pBdr>
        <w:top w:val="single" w:sz="4" w:space="10" w:color="E69F00" w:themeColor="accent1"/>
        <w:bottom w:val="single" w:sz="4" w:space="10" w:color="E69F00" w:themeColor="accent1"/>
      </w:pBdr>
      <w:spacing w:before="360" w:after="360"/>
      <w:ind w:left="864" w:right="864"/>
      <w:jc w:val="center"/>
    </w:pPr>
    <w:rPr>
      <w:i/>
      <w:iCs/>
      <w:color w:val="E69F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8F6"/>
    <w:rPr>
      <w:i/>
      <w:iCs/>
      <w:color w:val="E69F00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F648F6"/>
    <w:rPr>
      <w:b/>
      <w:bCs/>
      <w:smallCaps/>
      <w:color w:val="E69F00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F147CC"/>
    <w:rPr>
      <w:rFonts w:asciiTheme="majorHAnsi" w:eastAsia="Times New Roman" w:hAnsiTheme="majorHAnsi"/>
      <w:color w:val="0D0D0D"/>
      <w:sz w:val="28"/>
      <w:szCs w:val="22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00F147CC"/>
    <w:rPr>
      <w:rFonts w:asciiTheme="majorHAnsi" w:eastAsia="Times New Roman" w:hAnsiTheme="majorHAnsi"/>
      <w:i/>
      <w:iCs/>
      <w:color w:val="000000" w:themeColor="text1"/>
      <w:sz w:val="24"/>
      <w:szCs w:val="22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164CF7"/>
    <w:rPr>
      <w:rFonts w:asciiTheme="majorHAnsi" w:eastAsiaTheme="majorEastAsia" w:hAnsiTheme="majorHAnsi" w:cstheme="majorBidi"/>
      <w:color w:val="404040" w:themeColor="text1" w:themeTint="BF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164CF7"/>
    <w:pPr>
      <w:spacing w:after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164CF7"/>
    <w:rPr>
      <w:rFonts w:eastAsiaTheme="minorHAnsi" w:cstheme="minorBidi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164CF7"/>
    <w:pPr>
      <w:spacing w:after="0" w:line="240" w:lineRule="auto"/>
    </w:pPr>
    <w:rPr>
      <w:rFonts w:ascii="Times New Roman" w:hAnsi="Times New Roman"/>
      <w:i/>
      <w:iCs/>
      <w:sz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164CF7"/>
    <w:rPr>
      <w:rFonts w:ascii="Times New Roman" w:eastAsia="Times New Roman" w:hAnsi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6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64CF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70152"/>
    <w:pPr>
      <w:spacing w:after="0" w:line="240" w:lineRule="auto"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152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styleId="Emphasis">
    <w:name w:val="Emphasis"/>
    <w:basedOn w:val="DefaultParagraphFont"/>
    <w:uiPriority w:val="20"/>
    <w:qFormat/>
    <w:rsid w:val="00670152"/>
    <w:rPr>
      <w:rFonts w:asciiTheme="minorHAnsi" w:hAnsiTheme="minorHAnsi"/>
      <w:b/>
      <w:iCs/>
    </w:rPr>
  </w:style>
  <w:style w:type="character" w:styleId="SubtleEmphasis">
    <w:name w:val="Subtle Emphasis"/>
    <w:basedOn w:val="DefaultParagraphFont"/>
    <w:uiPriority w:val="19"/>
    <w:qFormat/>
    <w:rsid w:val="00670152"/>
    <w:rPr>
      <w:i/>
      <w:iCs/>
      <w:color w:val="auto"/>
    </w:rPr>
  </w:style>
  <w:style w:type="paragraph" w:customStyle="1" w:styleId="Sourcecode">
    <w:name w:val="Source code"/>
    <w:basedOn w:val="Normal"/>
    <w:link w:val="SourcecodeChar"/>
    <w:autoRedefine/>
    <w:qFormat/>
    <w:rsid w:val="00670152"/>
    <w:pPr>
      <w:widowControl w:val="0"/>
      <w:autoSpaceDE w:val="0"/>
      <w:autoSpaceDN w:val="0"/>
      <w:adjustRightInd w:val="0"/>
    </w:pPr>
    <w:rPr>
      <w:rFonts w:ascii="Source Code Pro" w:eastAsia="Calibri" w:hAnsi="Source Code Pro"/>
      <w:szCs w:val="20"/>
    </w:rPr>
  </w:style>
  <w:style w:type="character" w:customStyle="1" w:styleId="SourcecodeChar">
    <w:name w:val="Source code Char"/>
    <w:basedOn w:val="DefaultParagraphFont"/>
    <w:link w:val="Sourcecode"/>
    <w:rsid w:val="00670152"/>
    <w:rPr>
      <w:rFonts w:ascii="Source Code Pro" w:hAnsi="Source Code Pro"/>
    </w:rPr>
  </w:style>
  <w:style w:type="paragraph" w:customStyle="1" w:styleId="SourceCode0">
    <w:name w:val="Source Code"/>
    <w:basedOn w:val="Normal"/>
    <w:link w:val="SourceCodeChar0"/>
    <w:autoRedefine/>
    <w:qFormat/>
    <w:rsid w:val="00670152"/>
    <w:rPr>
      <w:rFonts w:ascii="Source Code Pro Black" w:eastAsia="Calibri" w:hAnsi="Source Code Pro Black" w:cs="Droid Sans Mono Dotted"/>
      <w:szCs w:val="20"/>
    </w:rPr>
  </w:style>
  <w:style w:type="character" w:customStyle="1" w:styleId="SourceCodeChar0">
    <w:name w:val="Source Code Char"/>
    <w:basedOn w:val="DefaultParagraphFont"/>
    <w:link w:val="SourceCode0"/>
    <w:rsid w:val="00670152"/>
    <w:rPr>
      <w:rFonts w:ascii="Source Code Pro Black" w:hAnsi="Source Code Pro Black" w:cs="Droid Sans Mono Dotted"/>
    </w:rPr>
  </w:style>
  <w:style w:type="paragraph" w:styleId="ListParagraph">
    <w:name w:val="List Paragraph"/>
    <w:basedOn w:val="Normal"/>
    <w:autoRedefine/>
    <w:uiPriority w:val="34"/>
    <w:qFormat/>
    <w:rsid w:val="00670152"/>
    <w:pPr>
      <w:ind w:left="720"/>
    </w:pPr>
    <w:rPr>
      <w:rFonts w:cstheme="minorBidi"/>
    </w:rPr>
  </w:style>
  <w:style w:type="paragraph" w:styleId="Header">
    <w:name w:val="header"/>
    <w:basedOn w:val="Normal"/>
    <w:link w:val="HeaderChar"/>
    <w:unhideWhenUsed/>
    <w:rsid w:val="0002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02779F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2779F"/>
    <w:rPr>
      <w:rFonts w:asciiTheme="minorHAnsi" w:hAnsiTheme="minorHAnsi"/>
      <w:szCs w:val="24"/>
    </w:rPr>
  </w:style>
  <w:style w:type="character" w:customStyle="1" w:styleId="InternetLink">
    <w:name w:val="Internet Link"/>
    <w:rsid w:val="000277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5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C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CA5"/>
    <w:rPr>
      <w:rFonts w:asciiTheme="minorHAnsi" w:eastAsia="Times New Roman" w:hAnsiTheme="minorHAnsi"/>
    </w:rPr>
  </w:style>
  <w:style w:type="character" w:styleId="Strong">
    <w:name w:val="Strong"/>
    <w:basedOn w:val="DefaultParagraphFont"/>
    <w:uiPriority w:val="22"/>
    <w:qFormat/>
    <w:rsid w:val="00DA78D4"/>
    <w:rPr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apg.cas.cz/" TargetMode="External"/><Relationship Id="rId2" Type="http://schemas.openxmlformats.org/officeDocument/2006/relationships/hyperlink" Target="mailto:uzfg@iapg.ca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ColorBlindSafe">
      <a:dk1>
        <a:srgbClr val="000000"/>
      </a:dk1>
      <a:lt1>
        <a:srgbClr val="FFFFFF"/>
      </a:lt1>
      <a:dk2>
        <a:srgbClr val="0072B2"/>
      </a:dk2>
      <a:lt2>
        <a:srgbClr val="56B4E9"/>
      </a:lt2>
      <a:accent1>
        <a:srgbClr val="E69F00"/>
      </a:accent1>
      <a:accent2>
        <a:srgbClr val="F0E242"/>
      </a:accent2>
      <a:accent3>
        <a:srgbClr val="CC79A7"/>
      </a:accent3>
      <a:accent4>
        <a:srgbClr val="D55E00"/>
      </a:accent4>
      <a:accent5>
        <a:srgbClr val="009E73"/>
      </a:accent5>
      <a:accent6>
        <a:srgbClr val="F14124"/>
      </a:accent6>
      <a:hlink>
        <a:srgbClr val="11B2EB"/>
      </a:hlink>
      <a:folHlink>
        <a:srgbClr val="C3260C"/>
      </a:folHlink>
    </a:clrScheme>
    <a:fontScheme name="Gill_Sitka">
      <a:majorFont>
        <a:latin typeface="Gill Sans MT"/>
        <a:ea typeface=""/>
        <a:cs typeface=""/>
      </a:majorFont>
      <a:minorFont>
        <a:latin typeface="Sitk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Vodicka</dc:creator>
  <cp:keywords/>
  <dc:description/>
  <cp:lastModifiedBy>Petr Vodicka</cp:lastModifiedBy>
  <cp:revision>2</cp:revision>
  <dcterms:created xsi:type="dcterms:W3CDTF">2018-10-24T10:03:00Z</dcterms:created>
  <dcterms:modified xsi:type="dcterms:W3CDTF">2018-10-24T10:03:00Z</dcterms:modified>
</cp:coreProperties>
</file>